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4E473" w14:textId="5305B38A" w:rsidR="00991370" w:rsidRDefault="00991370" w:rsidP="0084620C">
      <w:pPr>
        <w:pStyle w:val="Authors"/>
        <w:rPr>
          <w:sz w:val="36"/>
          <w:lang w:val="es-ES"/>
        </w:rPr>
      </w:pPr>
      <w:r w:rsidRPr="00991370">
        <w:rPr>
          <w:sz w:val="36"/>
          <w:lang w:val="es-ES"/>
        </w:rPr>
        <w:t xml:space="preserve">Infraestructura </w:t>
      </w:r>
      <w:r w:rsidR="008F1614">
        <w:rPr>
          <w:sz w:val="36"/>
          <w:lang w:val="es-ES"/>
        </w:rPr>
        <w:t>i</w:t>
      </w:r>
      <w:r w:rsidRPr="00991370">
        <w:rPr>
          <w:sz w:val="36"/>
          <w:lang w:val="es-ES"/>
        </w:rPr>
        <w:t xml:space="preserve">nalámbrica </w:t>
      </w:r>
      <w:proofErr w:type="spellStart"/>
      <w:r w:rsidRPr="00991370">
        <w:rPr>
          <w:sz w:val="36"/>
          <w:lang w:val="es-ES"/>
        </w:rPr>
        <w:t>WiFi</w:t>
      </w:r>
      <w:proofErr w:type="spellEnd"/>
      <w:r w:rsidRPr="00991370">
        <w:rPr>
          <w:sz w:val="36"/>
          <w:lang w:val="es-ES"/>
        </w:rPr>
        <w:t xml:space="preserve"> de la I3D del MINISDEF</w:t>
      </w:r>
    </w:p>
    <w:p w14:paraId="61DA6531" w14:textId="4202571E" w:rsidR="0084615E" w:rsidRDefault="0084615E" w:rsidP="0084620C">
      <w:pPr>
        <w:pStyle w:val="Authors"/>
      </w:pPr>
      <w:r>
        <w:t xml:space="preserve">Autor: </w:t>
      </w:r>
      <w:r w:rsidR="00426912" w:rsidRPr="00426912">
        <w:rPr>
          <w:lang w:val="es-ES"/>
        </w:rPr>
        <w:t>Enjuto Gómez</w:t>
      </w:r>
      <w:r w:rsidR="00426912">
        <w:rPr>
          <w:lang w:val="es-ES"/>
        </w:rPr>
        <w:t>, Sergio.</w:t>
      </w:r>
    </w:p>
    <w:p w14:paraId="1268F84C" w14:textId="5431ABC2" w:rsidR="0017565C" w:rsidRPr="0084615E" w:rsidRDefault="0084615E" w:rsidP="0084615E">
      <w:pPr>
        <w:pStyle w:val="Authors"/>
      </w:pPr>
      <w:r>
        <w:t xml:space="preserve">Director/es: </w:t>
      </w:r>
      <w:r w:rsidR="00426912" w:rsidRPr="00426912">
        <w:rPr>
          <w:lang w:val="es-ES"/>
        </w:rPr>
        <w:t>Gil Cast</w:t>
      </w:r>
      <w:r w:rsidR="00426912">
        <w:rPr>
          <w:lang w:val="es-ES"/>
        </w:rPr>
        <w:t>i</w:t>
      </w:r>
      <w:r w:rsidR="00426912" w:rsidRPr="00426912">
        <w:rPr>
          <w:lang w:val="es-ES"/>
        </w:rPr>
        <w:t>ñeira</w:t>
      </w:r>
      <w:r w:rsidR="00426912">
        <w:rPr>
          <w:lang w:val="es-ES"/>
        </w:rPr>
        <w:t>, Felipe</w:t>
      </w:r>
      <w:r w:rsidR="008F1614">
        <w:rPr>
          <w:lang w:val="es-ES"/>
        </w:rPr>
        <w:t xml:space="preserve"> José</w:t>
      </w:r>
      <w:r w:rsidR="009B7C8C" w:rsidRPr="0041237B">
        <w:rPr>
          <w:szCs w:val="24"/>
        </w:rPr>
        <w:t>.</w:t>
      </w:r>
    </w:p>
    <w:p w14:paraId="600A39E0" w14:textId="77777777" w:rsidR="00833A40" w:rsidRPr="0041237B" w:rsidRDefault="00833A40" w:rsidP="00833A40">
      <w:pPr>
        <w:pStyle w:val="Address"/>
        <w:jc w:val="left"/>
        <w:rPr>
          <w:lang w:val="es-ES"/>
        </w:rPr>
        <w:sectPr w:rsidR="00833A40" w:rsidRPr="0041237B" w:rsidSect="005C34BB">
          <w:headerReference w:type="even" r:id="rId11"/>
          <w:headerReference w:type="default" r:id="rId12"/>
          <w:footerReference w:type="default" r:id="rId13"/>
          <w:pgSz w:w="11906" w:h="16838"/>
          <w:pgMar w:top="3119" w:right="1077" w:bottom="1021" w:left="1077" w:header="709" w:footer="709" w:gutter="0"/>
          <w:cols w:space="708"/>
          <w:titlePg/>
          <w:docGrid w:linePitch="360"/>
        </w:sectPr>
      </w:pPr>
    </w:p>
    <w:p w14:paraId="035B1E0C" w14:textId="6AF4967A" w:rsidR="003C6C02" w:rsidRPr="003C6C02" w:rsidRDefault="003C6C02" w:rsidP="003C6C02">
      <w:pPr>
        <w:pStyle w:val="Mline1"/>
        <w:pBdr>
          <w:bottom w:val="single" w:sz="6" w:space="9" w:color="auto"/>
        </w:pBdr>
        <w:rPr>
          <w:lang w:val="es-ES"/>
        </w:rPr>
      </w:pPr>
      <w:r>
        <w:rPr>
          <w:lang w:val="es-ES"/>
        </w:rPr>
        <w:t xml:space="preserve">Contacto: </w:t>
      </w:r>
      <w:r w:rsidR="008F1614">
        <w:fldChar w:fldCharType="begin"/>
      </w:r>
      <w:r w:rsidR="008F1614" w:rsidRPr="00686E60">
        <w:rPr>
          <w:lang w:val="es-ES"/>
        </w:rPr>
        <w:instrText>HYPERLINK "mailto:serengo4@gmail.com"</w:instrText>
      </w:r>
      <w:r w:rsidR="008F1614">
        <w:fldChar w:fldCharType="separate"/>
      </w:r>
      <w:r w:rsidR="008F1614" w:rsidRPr="00482EB7">
        <w:rPr>
          <w:rStyle w:val="Hipervnculo"/>
          <w:lang w:val="es-ES"/>
        </w:rPr>
        <w:t>serengo4@gmail.com</w:t>
      </w:r>
      <w:r w:rsidR="008F1614">
        <w:fldChar w:fldCharType="end"/>
      </w:r>
      <w:r w:rsidR="00E110D5">
        <w:rPr>
          <w:lang w:val="es-ES"/>
        </w:rPr>
        <w:t xml:space="preserve"> /</w:t>
      </w:r>
      <w:r w:rsidR="008F1614">
        <w:rPr>
          <w:lang w:val="es-ES"/>
        </w:rPr>
        <w:t xml:space="preserve"> </w:t>
      </w:r>
      <w:r w:rsidR="008F1614">
        <w:fldChar w:fldCharType="begin"/>
      </w:r>
      <w:r w:rsidR="008F1614" w:rsidRPr="00686E60">
        <w:rPr>
          <w:lang w:val="es-ES"/>
        </w:rPr>
        <w:instrText>HYPERLINK "mailto:externo.felipegil@cud.uvigo.es"</w:instrText>
      </w:r>
      <w:r w:rsidR="008F1614">
        <w:fldChar w:fldCharType="separate"/>
      </w:r>
      <w:r w:rsidR="008F1614" w:rsidRPr="008F1614">
        <w:rPr>
          <w:rStyle w:val="Hipervnculo"/>
          <w:lang w:val="es-ES"/>
        </w:rPr>
        <w:t>externo.felipegil@cud.uvigo.es</w:t>
      </w:r>
      <w:r w:rsidR="008F1614">
        <w:fldChar w:fldCharType="end"/>
      </w:r>
    </w:p>
    <w:p w14:paraId="2336D68E" w14:textId="05267AF7" w:rsidR="005A0FF4" w:rsidRPr="005A0FF4" w:rsidRDefault="00E04724" w:rsidP="0047225D">
      <w:pPr>
        <w:pStyle w:val="Abstract"/>
        <w:spacing w:before="0" w:after="160" w:line="276" w:lineRule="auto"/>
        <w:ind w:left="425" w:firstLine="0"/>
        <w:rPr>
          <w:lang w:val="es-ES"/>
        </w:rPr>
      </w:pPr>
      <w:r>
        <w:rPr>
          <w:b/>
          <w:lang w:val="es-ES"/>
        </w:rPr>
        <w:t>Resumen</w:t>
      </w:r>
      <w:r w:rsidR="0017565C" w:rsidRPr="0041237B">
        <w:rPr>
          <w:b/>
          <w:lang w:val="es-ES"/>
        </w:rPr>
        <w:t>:</w:t>
      </w:r>
      <w:r w:rsidR="00F71B34" w:rsidRPr="0041237B">
        <w:rPr>
          <w:lang w:val="es-ES"/>
        </w:rPr>
        <w:t xml:space="preserve"> </w:t>
      </w:r>
      <w:r w:rsidR="00FD2F04">
        <w:rPr>
          <w:lang w:val="es-ES"/>
        </w:rPr>
        <w:t>El trabajo</w:t>
      </w:r>
      <w:r w:rsidR="005A0FF4" w:rsidRPr="005A0FF4">
        <w:rPr>
          <w:lang w:val="es-ES"/>
        </w:rPr>
        <w:t xml:space="preserve"> aborda el diseño, despliegue y validación de una infraestructura inalámbrica corporativa para el dominio DS0 de la Infraestructura Integral de Información para la Defensa (I3D). El objetivo principal es definir una solución </w:t>
      </w:r>
      <w:proofErr w:type="spellStart"/>
      <w:r w:rsidR="008D4512" w:rsidRPr="005A0FF4">
        <w:rPr>
          <w:lang w:val="es-ES"/>
        </w:rPr>
        <w:t>WiFi</w:t>
      </w:r>
      <w:proofErr w:type="spellEnd"/>
      <w:r w:rsidR="008D4512" w:rsidRPr="005A0FF4">
        <w:rPr>
          <w:lang w:val="es-ES"/>
        </w:rPr>
        <w:t>-segura</w:t>
      </w:r>
      <w:r w:rsidR="005A0FF4" w:rsidRPr="005A0FF4">
        <w:rPr>
          <w:lang w:val="es-ES"/>
        </w:rPr>
        <w:t>, escalable y gestionable que permita ofrecer conectividad fiable en entornos del Ministerio de Defensa, cumpliendo los requisitos normativos y operativos propios de la Administración Pública y del Esquema Nacional de Seguridad</w:t>
      </w:r>
      <w:r w:rsidR="00E74477">
        <w:rPr>
          <w:lang w:val="es-ES"/>
        </w:rPr>
        <w:t xml:space="preserve"> </w:t>
      </w:r>
      <w:r w:rsidR="00C3773F">
        <w:rPr>
          <w:lang w:val="es-ES"/>
        </w:rPr>
        <w:t>[1]</w:t>
      </w:r>
      <w:r w:rsidR="005A0FF4" w:rsidRPr="005A0FF4">
        <w:rPr>
          <w:lang w:val="es-ES"/>
        </w:rPr>
        <w:t>.</w:t>
      </w:r>
    </w:p>
    <w:p w14:paraId="09D1D217" w14:textId="304807A2" w:rsidR="005A0FF4" w:rsidRPr="005A0FF4" w:rsidRDefault="00FD2F04" w:rsidP="0047225D">
      <w:pPr>
        <w:pStyle w:val="Abstract"/>
        <w:spacing w:before="0" w:after="160" w:line="276" w:lineRule="auto"/>
        <w:ind w:left="425"/>
        <w:rPr>
          <w:lang w:val="es-ES"/>
        </w:rPr>
      </w:pPr>
      <w:r>
        <w:rPr>
          <w:lang w:val="es-ES"/>
        </w:rPr>
        <w:t>Se ha</w:t>
      </w:r>
      <w:r w:rsidR="005A0FF4" w:rsidRPr="005A0FF4">
        <w:rPr>
          <w:lang w:val="es-ES"/>
        </w:rPr>
        <w:t xml:space="preserve"> analiza</w:t>
      </w:r>
      <w:r>
        <w:rPr>
          <w:lang w:val="es-ES"/>
        </w:rPr>
        <w:t>do</w:t>
      </w:r>
      <w:r w:rsidR="005A0FF4" w:rsidRPr="005A0FF4">
        <w:rPr>
          <w:lang w:val="es-ES"/>
        </w:rPr>
        <w:t xml:space="preserve"> el estado del arte de las tecnologías WLAN, revisando la evolución de los estándares IEEE 802.11</w:t>
      </w:r>
      <w:r w:rsidR="00C3773F">
        <w:rPr>
          <w:lang w:val="es-ES"/>
        </w:rPr>
        <w:t>[2]</w:t>
      </w:r>
      <w:r w:rsidR="005A0FF4" w:rsidRPr="005A0FF4">
        <w:rPr>
          <w:lang w:val="es-ES"/>
        </w:rPr>
        <w:t xml:space="preserve"> y las arquitecturas empresariales más extendidas. A partir de este marco, se identifican las necesidades específicas del entorno MINISDEF en términos de usuarios, dispositivos, ubicaciones y requisitos de seguridad, lo que permite establecer los principios de diseño de una infraestructura inalámbrica orientada a entornos de misión crítica</w:t>
      </w:r>
      <w:r w:rsidR="00E74477">
        <w:rPr>
          <w:lang w:val="es-ES"/>
        </w:rPr>
        <w:t xml:space="preserve"> </w:t>
      </w:r>
      <w:r w:rsidR="00C3773F">
        <w:rPr>
          <w:lang w:val="es-ES"/>
        </w:rPr>
        <w:t>[3]</w:t>
      </w:r>
      <w:r w:rsidR="005A0FF4" w:rsidRPr="005A0FF4">
        <w:rPr>
          <w:lang w:val="es-ES"/>
        </w:rPr>
        <w:t>.</w:t>
      </w:r>
    </w:p>
    <w:p w14:paraId="5175814A" w14:textId="5659AAA4" w:rsidR="005A0FF4" w:rsidRPr="005A0FF4" w:rsidRDefault="005A0FF4" w:rsidP="0047225D">
      <w:pPr>
        <w:pStyle w:val="Abstract"/>
        <w:spacing w:before="0" w:after="160" w:line="276" w:lineRule="auto"/>
        <w:ind w:left="425"/>
        <w:rPr>
          <w:lang w:val="es-ES"/>
        </w:rPr>
      </w:pPr>
      <w:r w:rsidRPr="005A0FF4">
        <w:rPr>
          <w:lang w:val="es-ES"/>
        </w:rPr>
        <w:t>La propuesta arquitectónica se fundamenta en un modelo corporativo que integra autenticación robusta, control de acceso, monitorización centralizada y gestión unificada</w:t>
      </w:r>
      <w:r w:rsidR="00E74477">
        <w:rPr>
          <w:lang w:val="es-ES"/>
        </w:rPr>
        <w:t xml:space="preserve"> </w:t>
      </w:r>
      <w:r w:rsidR="00C3773F">
        <w:rPr>
          <w:lang w:val="es-ES"/>
        </w:rPr>
        <w:t>[4]</w:t>
      </w:r>
      <w:r w:rsidRPr="005A0FF4">
        <w:rPr>
          <w:lang w:val="es-ES"/>
        </w:rPr>
        <w:t>, manteniendo una estricta separación de dominios y garantizando la trazabilidad de los flujos de información. Se describen de forma conceptual los tipos de tráfico implicados en la operación del servicio, así como los mecanismos de seguridad y gestión necesarios para asegurar su correcto funcionamiento</w:t>
      </w:r>
      <w:r w:rsidR="00FD2F04">
        <w:rPr>
          <w:lang w:val="es-ES"/>
        </w:rPr>
        <w:t xml:space="preserve"> que garantice la disponibilidad, integridad y confidencialidad</w:t>
      </w:r>
      <w:r w:rsidRPr="005A0FF4">
        <w:rPr>
          <w:lang w:val="es-ES"/>
        </w:rPr>
        <w:t>.</w:t>
      </w:r>
    </w:p>
    <w:p w14:paraId="23EDD1EB" w14:textId="77777777" w:rsidR="005A0FF4" w:rsidRPr="005A0FF4" w:rsidRDefault="005A0FF4" w:rsidP="0047225D">
      <w:pPr>
        <w:pStyle w:val="Abstract"/>
        <w:spacing w:before="0" w:after="160" w:line="276" w:lineRule="auto"/>
        <w:ind w:left="425"/>
        <w:rPr>
          <w:lang w:val="es-ES"/>
        </w:rPr>
      </w:pPr>
      <w:r w:rsidRPr="005A0FF4">
        <w:rPr>
          <w:lang w:val="es-ES"/>
        </w:rPr>
        <w:t>El trabajo incluye la realización de un piloto experimental en un entorno controlado, diseñado para validar la solución en tres escenarios representativos: movilidad entre acuartelamientos, uso de dispositivos industriales en entornos logísticos y coexistencia de servicios en un entorno sanitario. Las pruebas realizadas permiten evaluar la autenticación, la experiencia de usuario, la integración con sistemas corporativos, la monitorización y el comportamiento general de la red.</w:t>
      </w:r>
    </w:p>
    <w:p w14:paraId="759AFCA2" w14:textId="77777777" w:rsidR="005A0FF4" w:rsidRPr="005A0FF4" w:rsidRDefault="005A0FF4" w:rsidP="0047225D">
      <w:pPr>
        <w:pStyle w:val="Abstract"/>
        <w:spacing w:before="0" w:after="160" w:line="276" w:lineRule="auto"/>
        <w:ind w:left="425"/>
        <w:rPr>
          <w:lang w:val="es-ES"/>
        </w:rPr>
      </w:pPr>
      <w:r w:rsidRPr="005A0FF4">
        <w:rPr>
          <w:lang w:val="es-ES"/>
        </w:rPr>
        <w:t>Los resultados obtenidos confirman la viabilidad técnica de la solución propuesta y permiten identificar recomendaciones para su despliegue progresivo en la I3D, destacando su alineación con los principios de seguridad, eficiencia operativa y escalabilidad propios de una infraestructura TIC moderna en el ámbito de la Defensa.</w:t>
      </w:r>
    </w:p>
    <w:p w14:paraId="4389BD7C" w14:textId="77777777" w:rsidR="005A0FF4" w:rsidRPr="0041237B" w:rsidRDefault="005A0FF4" w:rsidP="0047225D">
      <w:pPr>
        <w:pStyle w:val="Abstract"/>
        <w:spacing w:before="0" w:after="160" w:line="276" w:lineRule="auto"/>
        <w:ind w:left="425"/>
        <w:rPr>
          <w:lang w:val="es-ES"/>
        </w:rPr>
      </w:pPr>
    </w:p>
    <w:p w14:paraId="5D38743A" w14:textId="1D94AEEC" w:rsidR="0017565C" w:rsidRPr="00D72969" w:rsidRDefault="00E04724" w:rsidP="0047225D">
      <w:pPr>
        <w:pStyle w:val="Abstract"/>
        <w:spacing w:before="0" w:after="160" w:line="276" w:lineRule="auto"/>
        <w:ind w:left="425" w:firstLine="0"/>
        <w:rPr>
          <w:lang w:val="es-ES"/>
        </w:rPr>
      </w:pPr>
      <w:r w:rsidRPr="00D72969">
        <w:rPr>
          <w:b/>
          <w:lang w:val="es-ES"/>
        </w:rPr>
        <w:t>Palabras clave</w:t>
      </w:r>
      <w:r w:rsidR="0017565C" w:rsidRPr="00D72969">
        <w:rPr>
          <w:b/>
          <w:lang w:val="es-ES"/>
        </w:rPr>
        <w:t>:</w:t>
      </w:r>
      <w:r w:rsidR="00995D37" w:rsidRPr="00D72969">
        <w:rPr>
          <w:lang w:val="es-ES"/>
        </w:rPr>
        <w:t xml:space="preserve"> </w:t>
      </w:r>
      <w:proofErr w:type="spellStart"/>
      <w:r w:rsidR="00426912" w:rsidRPr="00426912">
        <w:rPr>
          <w:lang w:val="es-ES"/>
        </w:rPr>
        <w:t>WiFi</w:t>
      </w:r>
      <w:proofErr w:type="spellEnd"/>
      <w:r w:rsidR="008D4512">
        <w:rPr>
          <w:lang w:val="es-ES"/>
        </w:rPr>
        <w:t xml:space="preserve"> </w:t>
      </w:r>
      <w:r w:rsidR="00426912" w:rsidRPr="00426912">
        <w:rPr>
          <w:lang w:val="es-ES"/>
        </w:rPr>
        <w:t>corporativo, I3D, 802.1X, WPA3-Enterprise, NAC, seguridad inalámbrica.</w:t>
      </w:r>
    </w:p>
    <w:p w14:paraId="59CFBECB" w14:textId="77777777" w:rsidR="0017565C" w:rsidRPr="00D72969" w:rsidRDefault="0017565C" w:rsidP="0084620C">
      <w:pPr>
        <w:pStyle w:val="Mline2"/>
        <w:rPr>
          <w:lang w:val="es-ES"/>
        </w:rPr>
      </w:pPr>
    </w:p>
    <w:p w14:paraId="11D756E7" w14:textId="77777777" w:rsidR="00156627" w:rsidRDefault="00A4407A" w:rsidP="0047225D">
      <w:pPr>
        <w:pStyle w:val="Section"/>
      </w:pPr>
      <w:r w:rsidRPr="0041237B">
        <w:t>Introducción</w:t>
      </w:r>
    </w:p>
    <w:p w14:paraId="13771BD5" w14:textId="4BEEE820" w:rsidR="00C3773F" w:rsidRDefault="0008499F" w:rsidP="0047225D">
      <w:r w:rsidRPr="0008499F">
        <w:t xml:space="preserve">La creciente digitalización de los servicios corporativos y la necesidad de movilidad en los entornos profesionales han consolidado las redes inalámbricas como un componente estratégico de las infraestructuras TIC modernas. En el ámbito del Ministerio de Defensa, la evolución de la Infraestructura Integral de Información para la Defensa (I3D) plantea la necesidad de incorporar soluciones </w:t>
      </w:r>
      <w:r w:rsidR="008D4512" w:rsidRPr="0008499F">
        <w:t>Wifi</w:t>
      </w:r>
      <w:r w:rsidRPr="0008499F">
        <w:t xml:space="preserve"> que permitan extender el acceso seguro a los servicios del dominio DS0, manteniendo los principios de disponibilidad, integridad y confidencialidad exigidos en entornos </w:t>
      </w:r>
      <w:r w:rsidR="00C3773F" w:rsidRPr="0008499F">
        <w:t>institucionales</w:t>
      </w:r>
      <w:r w:rsidR="00C3773F">
        <w:t xml:space="preserve"> [1]</w:t>
      </w:r>
      <w:r w:rsidRPr="0008499F">
        <w:t>.</w:t>
      </w:r>
    </w:p>
    <w:p w14:paraId="1032D6BA" w14:textId="7628BA11" w:rsidR="0008499F" w:rsidRPr="0008499F" w:rsidRDefault="0008499F" w:rsidP="0047225D">
      <w:r w:rsidRPr="0008499F">
        <w:t xml:space="preserve">Este trabajo se enmarca en ese contexto y desarrolla una propuesta técnica orientada a definir, validar y evaluar una infraestructura inalámbrica corporativa adaptada a las necesidades del </w:t>
      </w:r>
      <w:r w:rsidR="004070F6">
        <w:t>Ministerio de Defensa (MINISDEF)</w:t>
      </w:r>
      <w:r w:rsidRPr="0008499F">
        <w:t>.</w:t>
      </w:r>
    </w:p>
    <w:p w14:paraId="0D2D97A4" w14:textId="4DB63A57" w:rsidR="005C34BB" w:rsidRDefault="00395E37" w:rsidP="0047225D">
      <w:pPr>
        <w:pStyle w:val="Subsection"/>
      </w:pPr>
      <w:r>
        <w:t>Contexto y motivación</w:t>
      </w:r>
    </w:p>
    <w:p w14:paraId="59AFB334" w14:textId="059B7D68" w:rsidR="0008499F" w:rsidRDefault="0008499F" w:rsidP="0047225D">
      <w:r w:rsidRPr="0008499F">
        <w:t xml:space="preserve">Las organizaciones contemporáneas dependen cada vez más de la movilidad, la flexibilidad y la conectividad ubicua para garantizar la continuidad operativa y mejorar la eficiencia de sus procesos. Las redes </w:t>
      </w:r>
      <w:proofErr w:type="spellStart"/>
      <w:r w:rsidR="008D4512" w:rsidRPr="0008499F">
        <w:t>WiFi</w:t>
      </w:r>
      <w:proofErr w:type="spellEnd"/>
      <w:r w:rsidR="008D4512" w:rsidRPr="0008499F">
        <w:t>-empresariales</w:t>
      </w:r>
      <w:r w:rsidRPr="0008499F">
        <w:t xml:space="preserve"> han evolucionado hasta convertirse en un elemento esencial para el acceso a servicios corporativos, permitiendo a los usuarios trabajar desde cualquier ubicación dentro de una </w:t>
      </w:r>
      <w:r w:rsidR="00C3773F" w:rsidRPr="0008499F">
        <w:t>instalación</w:t>
      </w:r>
      <w:r w:rsidR="00C3773F">
        <w:t xml:space="preserve"> [2]</w:t>
      </w:r>
      <w:r w:rsidRPr="0008499F">
        <w:t>. En el caso del MINISDEF, la ausencia de una solución inalámbrica integrada en la I3D limita la capacidad de ofrecer servicios digitales en movilidad y dificulta la modernización de procesos logísticos, administrativos y sanitarios</w:t>
      </w:r>
      <w:r w:rsidR="00C3773F">
        <w:t xml:space="preserve"> [3]</w:t>
      </w:r>
      <w:r w:rsidRPr="0008499F">
        <w:t xml:space="preserve">. Esta situación motiva la necesidad de estudiar, diseñar y validar una infraestructura </w:t>
      </w:r>
      <w:proofErr w:type="spellStart"/>
      <w:r w:rsidRPr="0008499F">
        <w:t>WiFi</w:t>
      </w:r>
      <w:proofErr w:type="spellEnd"/>
      <w:r w:rsidRPr="0008499F">
        <w:t xml:space="preserve"> que cumpla con los requisitos técnicos y normativos del entorno de Defensa.</w:t>
      </w:r>
    </w:p>
    <w:p w14:paraId="1CC117BD" w14:textId="35F90B9F" w:rsidR="00395E37" w:rsidRDefault="00395E37" w:rsidP="0047225D">
      <w:pPr>
        <w:pStyle w:val="Subsection"/>
      </w:pPr>
      <w:r>
        <w:t>Importancia de la conectividad inalámbrica en entornos corporativos</w:t>
      </w:r>
    </w:p>
    <w:p w14:paraId="3018423F" w14:textId="1A539549" w:rsidR="0008499F" w:rsidRPr="0008499F" w:rsidRDefault="0008499F" w:rsidP="0047225D">
      <w:pPr>
        <w:rPr>
          <w:rFonts w:eastAsia="Times New Roman"/>
          <w:lang w:eastAsia="es-ES"/>
        </w:rPr>
      </w:pPr>
      <w:r w:rsidRPr="0008499F">
        <w:rPr>
          <w:rFonts w:eastAsia="Times New Roman"/>
          <w:lang w:eastAsia="es-ES"/>
        </w:rPr>
        <w:t xml:space="preserve">La conectividad inalámbrica aporta ventajas significativas en términos de productividad, flexibilidad y eficiencia operativa. Permite habilitar espacios de trabajo dinámicos, facilita la colaboración entre equipos y soporta la proliferación de dispositivos móviles, sensores y equipamiento </w:t>
      </w:r>
      <w:proofErr w:type="spellStart"/>
      <w:r w:rsidRPr="0008499F">
        <w:rPr>
          <w:rFonts w:eastAsia="Times New Roman"/>
          <w:lang w:eastAsia="es-ES"/>
        </w:rPr>
        <w:t>IoT</w:t>
      </w:r>
      <w:proofErr w:type="spellEnd"/>
      <w:r w:rsidRPr="0008499F">
        <w:rPr>
          <w:rFonts w:eastAsia="Times New Roman"/>
          <w:lang w:eastAsia="es-ES"/>
        </w:rPr>
        <w:t>. Además, las tecnologías actuales ofrecen mecanismos avanzados de seguridad, segmentación y gestión centralizada que permiten su adopción en entornos críticos</w:t>
      </w:r>
      <w:r w:rsidR="00C3773F">
        <w:rPr>
          <w:rFonts w:eastAsia="Times New Roman"/>
          <w:lang w:eastAsia="es-ES"/>
        </w:rPr>
        <w:t xml:space="preserve"> [4]</w:t>
      </w:r>
      <w:r w:rsidRPr="0008499F">
        <w:rPr>
          <w:rFonts w:eastAsia="Times New Roman"/>
          <w:lang w:eastAsia="es-ES"/>
        </w:rPr>
        <w:t xml:space="preserve">. En organizaciones complejas como el MINISDEF, disponer de una red </w:t>
      </w:r>
      <w:proofErr w:type="spellStart"/>
      <w:r w:rsidRPr="0008499F">
        <w:rPr>
          <w:rFonts w:eastAsia="Times New Roman"/>
          <w:lang w:eastAsia="es-ES"/>
        </w:rPr>
        <w:t>WiFi</w:t>
      </w:r>
      <w:proofErr w:type="spellEnd"/>
      <w:r w:rsidRPr="0008499F">
        <w:rPr>
          <w:rFonts w:eastAsia="Times New Roman"/>
          <w:lang w:eastAsia="es-ES"/>
        </w:rPr>
        <w:t xml:space="preserve"> corporativa robusta contribuye a mejorar la prestación de servicios, optimizar recursos y avanzar hacia modelos de operación más ágiles y digitalizados.</w:t>
      </w:r>
    </w:p>
    <w:p w14:paraId="4A2DBE22" w14:textId="77777777" w:rsidR="0008499F" w:rsidRDefault="00395E37" w:rsidP="0047225D">
      <w:pPr>
        <w:pStyle w:val="Subsection"/>
      </w:pPr>
      <w:r>
        <w:t xml:space="preserve">Necesidad de una solución </w:t>
      </w:r>
      <w:proofErr w:type="spellStart"/>
      <w:r>
        <w:t>WiFi</w:t>
      </w:r>
      <w:proofErr w:type="spellEnd"/>
      <w:r>
        <w:t xml:space="preserve"> para la I3D</w:t>
      </w:r>
    </w:p>
    <w:p w14:paraId="7F907E5E" w14:textId="499E9CDB" w:rsidR="0008499F" w:rsidRDefault="0008499F" w:rsidP="0047225D">
      <w:r w:rsidRPr="0008499F">
        <w:rPr>
          <w:rFonts w:eastAsia="Times New Roman"/>
          <w:lang w:eastAsia="es-ES"/>
        </w:rPr>
        <w:t>La I3D constituye la infraestructura troncal de servicios TIC del Ministerio de Defensa, y su evolución natural requiere incorporar capacidades inalámbricas que permitan extender el acceso al dominio DS0 de forma segura y controlada</w:t>
      </w:r>
      <w:r w:rsidR="00C3773F">
        <w:rPr>
          <w:rFonts w:eastAsia="Times New Roman"/>
          <w:lang w:eastAsia="es-ES"/>
        </w:rPr>
        <w:t xml:space="preserve"> [3]</w:t>
      </w:r>
      <w:r w:rsidRPr="0008499F">
        <w:rPr>
          <w:rFonts w:eastAsia="Times New Roman"/>
          <w:lang w:eastAsia="es-ES"/>
        </w:rPr>
        <w:t xml:space="preserve">. La existencia de servicios inalámbricos previos, como la red RAP, demuestra la utilidad de estas tecnologías, pero también evidencia la necesidad de una solución diferenciada, alineada con los requisitos de seguridad, gestión y segmentación propios de la I3D. Una red </w:t>
      </w:r>
      <w:proofErr w:type="spellStart"/>
      <w:r w:rsidRPr="0008499F">
        <w:rPr>
          <w:rFonts w:eastAsia="Times New Roman"/>
          <w:lang w:eastAsia="es-ES"/>
        </w:rPr>
        <w:t>WiFi</w:t>
      </w:r>
      <w:proofErr w:type="spellEnd"/>
      <w:r w:rsidRPr="0008499F">
        <w:rPr>
          <w:rFonts w:eastAsia="Times New Roman"/>
          <w:lang w:eastAsia="es-ES"/>
        </w:rPr>
        <w:t xml:space="preserve"> corporativa específica para este dominio permitiría habilitar movilidad entre </w:t>
      </w:r>
      <w:r w:rsidRPr="0008499F">
        <w:rPr>
          <w:rFonts w:eastAsia="Times New Roman"/>
          <w:lang w:eastAsia="es-ES"/>
        </w:rPr>
        <w:lastRenderedPageBreak/>
        <w:t>acuartelamientos, integrar dispositivos industriales y sanitarios, y mejorar la experiencia de usuario en múltiples escenarios operativos.</w:t>
      </w:r>
    </w:p>
    <w:p w14:paraId="227BCC2E" w14:textId="766820C7" w:rsidR="00440F0E" w:rsidRDefault="00440F0E" w:rsidP="0047225D">
      <w:pPr>
        <w:pStyle w:val="Subsection"/>
      </w:pPr>
      <w:r>
        <w:t>Objetivos del trabajo</w:t>
      </w:r>
    </w:p>
    <w:p w14:paraId="729AE2D6" w14:textId="77777777" w:rsidR="00537E64" w:rsidRPr="00537E64" w:rsidRDefault="00537E64" w:rsidP="0047225D">
      <w:pPr>
        <w:rPr>
          <w:rFonts w:eastAsia="Times New Roman"/>
          <w:lang w:eastAsia="es-ES"/>
        </w:rPr>
      </w:pPr>
      <w:r w:rsidRPr="00537E64">
        <w:rPr>
          <w:rFonts w:eastAsia="Times New Roman"/>
          <w:lang w:eastAsia="es-ES"/>
        </w:rPr>
        <w:t>El objetivo principal de este trabajo es definir una arquitectura inalámbrica corporativa para el dominio DS0 de la I3D, así como diseñar y validar un piloto que permita evaluar su viabilidad técnica. De forma más específica, el estudio persigue:</w:t>
      </w:r>
    </w:p>
    <w:p w14:paraId="3AFD3264" w14:textId="1DAB3AC8" w:rsidR="00537E64" w:rsidRPr="00537E64" w:rsidRDefault="00537E64" w:rsidP="0047225D">
      <w:pPr>
        <w:pStyle w:val="Subsection"/>
        <w:numPr>
          <w:ilvl w:val="0"/>
          <w:numId w:val="32"/>
        </w:numPr>
        <w:rPr>
          <w:rFonts w:eastAsia="Times New Roman"/>
          <w:i w:val="0"/>
          <w:lang w:eastAsia="es-ES"/>
        </w:rPr>
      </w:pPr>
      <w:r w:rsidRPr="00537E64">
        <w:rPr>
          <w:rFonts w:eastAsia="Times New Roman"/>
          <w:i w:val="0"/>
          <w:lang w:eastAsia="es-ES"/>
        </w:rPr>
        <w:t>Analizar el estado del arte de las tecnologías WLAN</w:t>
      </w:r>
      <w:r w:rsidR="00C3773F">
        <w:rPr>
          <w:rFonts w:eastAsia="Times New Roman"/>
          <w:i w:val="0"/>
          <w:lang w:eastAsia="es-ES"/>
        </w:rPr>
        <w:t xml:space="preserve"> [2]</w:t>
      </w:r>
      <w:r w:rsidRPr="00537E64">
        <w:rPr>
          <w:rFonts w:eastAsia="Times New Roman"/>
          <w:i w:val="0"/>
          <w:lang w:eastAsia="es-ES"/>
        </w:rPr>
        <w:t xml:space="preserve"> y su aplicabilidad en entornos de alta seguridad.</w:t>
      </w:r>
    </w:p>
    <w:p w14:paraId="1E82E98B" w14:textId="6851EEE8" w:rsidR="00537E64" w:rsidRPr="00537E64" w:rsidRDefault="00537E64" w:rsidP="0047225D">
      <w:pPr>
        <w:pStyle w:val="Subsection"/>
        <w:numPr>
          <w:ilvl w:val="0"/>
          <w:numId w:val="32"/>
        </w:numPr>
        <w:rPr>
          <w:rFonts w:eastAsia="Times New Roman"/>
          <w:i w:val="0"/>
          <w:lang w:eastAsia="es-ES"/>
        </w:rPr>
      </w:pPr>
      <w:r w:rsidRPr="00537E64">
        <w:rPr>
          <w:rFonts w:eastAsia="Times New Roman"/>
          <w:i w:val="0"/>
          <w:lang w:eastAsia="es-ES"/>
        </w:rPr>
        <w:t>Identificar las necesidades funcionales y operativas del MINISDEF</w:t>
      </w:r>
      <w:r w:rsidR="00C3773F">
        <w:rPr>
          <w:rFonts w:eastAsia="Times New Roman"/>
          <w:i w:val="0"/>
          <w:lang w:eastAsia="es-ES"/>
        </w:rPr>
        <w:t xml:space="preserve"> [3]</w:t>
      </w:r>
      <w:r w:rsidRPr="00537E64">
        <w:rPr>
          <w:rFonts w:eastAsia="Times New Roman"/>
          <w:i w:val="0"/>
          <w:lang w:eastAsia="es-ES"/>
        </w:rPr>
        <w:t xml:space="preserve"> en materia de conectividad inalámbrica.</w:t>
      </w:r>
    </w:p>
    <w:p w14:paraId="1F462A5A" w14:textId="77777777" w:rsidR="00537E64" w:rsidRPr="00537E64" w:rsidRDefault="00537E64" w:rsidP="0047225D">
      <w:pPr>
        <w:pStyle w:val="Subsection"/>
        <w:numPr>
          <w:ilvl w:val="0"/>
          <w:numId w:val="32"/>
        </w:numPr>
        <w:rPr>
          <w:rFonts w:eastAsia="Times New Roman"/>
          <w:i w:val="0"/>
          <w:lang w:eastAsia="es-ES"/>
        </w:rPr>
      </w:pPr>
      <w:r w:rsidRPr="00537E64">
        <w:rPr>
          <w:rFonts w:eastAsia="Times New Roman"/>
          <w:i w:val="0"/>
          <w:lang w:eastAsia="es-ES"/>
        </w:rPr>
        <w:t>Proponer una arquitectura conceptual que integre autenticación, control de acceso, monitorización y gestión centralizada.</w:t>
      </w:r>
    </w:p>
    <w:p w14:paraId="61D382A7" w14:textId="77777777" w:rsidR="00537E64" w:rsidRPr="00537E64" w:rsidRDefault="00537E64" w:rsidP="0047225D">
      <w:pPr>
        <w:pStyle w:val="Subsection"/>
        <w:numPr>
          <w:ilvl w:val="0"/>
          <w:numId w:val="32"/>
        </w:numPr>
        <w:rPr>
          <w:rFonts w:eastAsia="Times New Roman"/>
          <w:i w:val="0"/>
          <w:lang w:eastAsia="es-ES"/>
        </w:rPr>
      </w:pPr>
      <w:r w:rsidRPr="00537E64">
        <w:rPr>
          <w:rFonts w:eastAsia="Times New Roman"/>
          <w:i w:val="0"/>
          <w:lang w:eastAsia="es-ES"/>
        </w:rPr>
        <w:t>Diseñar un piloto representativo y evaluar su comportamiento en escenarios reales de movilidad, logística y entorno sanitario.</w:t>
      </w:r>
    </w:p>
    <w:p w14:paraId="0A483735" w14:textId="77777777" w:rsidR="00537E64" w:rsidRPr="00537E64" w:rsidRDefault="00537E64" w:rsidP="0047225D">
      <w:pPr>
        <w:pStyle w:val="Subsection"/>
        <w:numPr>
          <w:ilvl w:val="0"/>
          <w:numId w:val="32"/>
        </w:numPr>
        <w:rPr>
          <w:rFonts w:eastAsia="Times New Roman"/>
          <w:i w:val="0"/>
          <w:lang w:eastAsia="es-ES"/>
        </w:rPr>
      </w:pPr>
      <w:r w:rsidRPr="00537E64">
        <w:rPr>
          <w:rFonts w:eastAsia="Times New Roman"/>
          <w:i w:val="0"/>
          <w:lang w:eastAsia="es-ES"/>
        </w:rPr>
        <w:t>Extraer conclusiones y recomendaciones para un despliegue progresivo en la I3D.</w:t>
      </w:r>
    </w:p>
    <w:p w14:paraId="50AC6BBD" w14:textId="77777777" w:rsidR="00537E64" w:rsidRDefault="00537E64" w:rsidP="0047225D">
      <w:pPr>
        <w:pStyle w:val="Subsection"/>
        <w:numPr>
          <w:ilvl w:val="0"/>
          <w:numId w:val="0"/>
        </w:numPr>
        <w:ind w:left="360"/>
      </w:pPr>
    </w:p>
    <w:p w14:paraId="0D7D3567" w14:textId="4F0243E2" w:rsidR="00440F0E" w:rsidRDefault="00440F0E" w:rsidP="0047225D">
      <w:pPr>
        <w:pStyle w:val="Subsection"/>
      </w:pPr>
      <w:r>
        <w:t>Metodología general del estudio</w:t>
      </w:r>
    </w:p>
    <w:p w14:paraId="5579ED82" w14:textId="116E19A4" w:rsidR="00537E64" w:rsidRPr="00537E64" w:rsidRDefault="00537E64" w:rsidP="0047225D">
      <w:pPr>
        <w:rPr>
          <w:rFonts w:eastAsia="Times New Roman"/>
          <w:iCs/>
          <w:lang w:eastAsia="es-ES"/>
        </w:rPr>
      </w:pPr>
      <w:r w:rsidRPr="00537E64">
        <w:rPr>
          <w:rFonts w:eastAsia="Times New Roman"/>
          <w:iCs/>
          <w:lang w:eastAsia="es-ES"/>
        </w:rPr>
        <w:t>El trabajo sigue una metodología estructurada basada en cuatro fases principales. En primer lugar, se realiza una revisión del estado del arte</w:t>
      </w:r>
      <w:r w:rsidR="00C3773F">
        <w:rPr>
          <w:rFonts w:eastAsia="Times New Roman"/>
          <w:iCs/>
          <w:lang w:eastAsia="es-ES"/>
        </w:rPr>
        <w:t xml:space="preserve"> [2]</w:t>
      </w:r>
      <w:r w:rsidRPr="00537E64">
        <w:rPr>
          <w:rFonts w:eastAsia="Times New Roman"/>
          <w:iCs/>
          <w:lang w:eastAsia="es-ES"/>
        </w:rPr>
        <w:t xml:space="preserve"> y de las tecnologías relevantes para establecer el marco conceptual. Posteriormente, se analizan las necesidades</w:t>
      </w:r>
      <w:r w:rsidR="00C3773F">
        <w:rPr>
          <w:rFonts w:eastAsia="Times New Roman"/>
          <w:iCs/>
          <w:lang w:eastAsia="es-ES"/>
        </w:rPr>
        <w:t xml:space="preserve"> [3]</w:t>
      </w:r>
      <w:r w:rsidRPr="00537E64">
        <w:rPr>
          <w:rFonts w:eastAsia="Times New Roman"/>
          <w:iCs/>
          <w:lang w:eastAsia="es-ES"/>
        </w:rPr>
        <w:t xml:space="preserve"> específicas del entorno MINISDEF, identificando requisitos funcionales, operativos y de seguridad. A continuación, se desarrolla una propuesta arquitectónica</w:t>
      </w:r>
      <w:r w:rsidR="00C3773F">
        <w:rPr>
          <w:rFonts w:eastAsia="Times New Roman"/>
          <w:iCs/>
          <w:lang w:eastAsia="es-ES"/>
        </w:rPr>
        <w:t xml:space="preserve"> [4]</w:t>
      </w:r>
      <w:r w:rsidRPr="00537E64">
        <w:rPr>
          <w:rFonts w:eastAsia="Times New Roman"/>
          <w:iCs/>
          <w:lang w:eastAsia="es-ES"/>
        </w:rPr>
        <w:t xml:space="preserve"> de alto nivel y se diseña un piloto experimental que permite validar la solución en escenarios representativos. Finalmente, se ejecutan pruebas funcionales y de integración, se evalúan los resultados y se formulan conclusiones orientadas a la toma de decisiones y al despliegue futuro de la infraestructura.</w:t>
      </w:r>
    </w:p>
    <w:p w14:paraId="6491C2D0" w14:textId="0263B424" w:rsidR="00440F0E" w:rsidRPr="00440F0E" w:rsidRDefault="005C34BB" w:rsidP="0047225D">
      <w:pPr>
        <w:pStyle w:val="Section"/>
        <w:numPr>
          <w:ilvl w:val="0"/>
          <w:numId w:val="33"/>
        </w:numPr>
      </w:pPr>
      <w:r w:rsidRPr="0041237B">
        <w:t>Desarrollo</w:t>
      </w:r>
    </w:p>
    <w:p w14:paraId="64C26EF2" w14:textId="77777777" w:rsidR="008D4512" w:rsidRPr="008D4512" w:rsidRDefault="008D4512" w:rsidP="0047225D">
      <w:pPr>
        <w:pStyle w:val="Prrafodelista"/>
        <w:numPr>
          <w:ilvl w:val="0"/>
          <w:numId w:val="8"/>
        </w:numPr>
        <w:rPr>
          <w:i/>
          <w:vanish/>
        </w:rPr>
      </w:pPr>
    </w:p>
    <w:p w14:paraId="1D748200" w14:textId="5E9865AA" w:rsidR="008D4512" w:rsidRDefault="00312212" w:rsidP="0047225D">
      <w:pPr>
        <w:pStyle w:val="Subsection"/>
      </w:pPr>
      <w:r>
        <w:t>Estado del arte de las WLAN corporativas</w:t>
      </w:r>
    </w:p>
    <w:p w14:paraId="3DD09F02" w14:textId="383CDE26" w:rsidR="00537E64" w:rsidRDefault="00537E64" w:rsidP="0047225D">
      <w:r w:rsidRPr="00537E64">
        <w:t>Las redes inalámbricas empresariales han experimentado una evolución significativa desde la aparición de los primeros estándares IEEE 802.11</w:t>
      </w:r>
      <w:r w:rsidR="00C3773F">
        <w:t xml:space="preserve"> [2]</w:t>
      </w:r>
      <w:r w:rsidRPr="00537E64">
        <w:t>, pasando de velocidades limitadas y mecanismos de seguridad básicos a soluciones altamente eficientes, densas y orientadas a entornos críticos. Tecnologías como 802.11n, 802.11ac y 802.11ax han permitido incrementar la capacidad, mejorar la eficiencia espectral y optimizar la experiencia de usuario en escenarios con alta concurrencia. Paralelamente, la madurez de los sistemas de autenticación basados en 802.1</w:t>
      </w:r>
      <w:r w:rsidR="00C211D6">
        <w:t>x</w:t>
      </w:r>
      <w:r w:rsidRPr="00537E64">
        <w:t>, la adopción de WPA3</w:t>
      </w:r>
      <w:r w:rsidRPr="00537E64">
        <w:noBreakHyphen/>
        <w:t>Enterprise y la integración con plataformas de gestión centralizada han consolidado un modelo de WLAN corporativa que combina rendimiento, seguridad y control granular</w:t>
      </w:r>
      <w:r w:rsidR="00C3773F">
        <w:t xml:space="preserve"> [5]</w:t>
      </w:r>
      <w:r w:rsidRPr="00537E64">
        <w:t>. En este contexto, las arquitecturas empresariales actuales se basan en controladoras, servicios de autenticación robustos y herramientas de monitorización que permiten operar redes inalámbricas de forma fiable y escalable.</w:t>
      </w:r>
    </w:p>
    <w:p w14:paraId="515CECA2" w14:textId="5E257E2B" w:rsidR="00312212" w:rsidRDefault="00312212" w:rsidP="0047225D">
      <w:pPr>
        <w:pStyle w:val="Subsection"/>
      </w:pPr>
      <w:r>
        <w:t>Necesidades y requisitos del entorno MINISDEF</w:t>
      </w:r>
    </w:p>
    <w:p w14:paraId="22FD3FB6" w14:textId="079F4CCC" w:rsidR="00537E64" w:rsidRDefault="00537E64" w:rsidP="0047225D">
      <w:r w:rsidRPr="00537E64">
        <w:t xml:space="preserve">El entorno del Ministerio de Defensa presenta particularidades que condicionan el diseño de una infraestructura inalámbrica. La diversidad de usuarios, dispositivos y ubicaciones exige una solución </w:t>
      </w:r>
      <w:r w:rsidRPr="00537E64">
        <w:lastRenderedPageBreak/>
        <w:t>capaz de ofrecer conectividad homogénea en acuartelamientos, áreas logísticas y entornos sanitarios, manteniendo al mismo tiempo un elevado nivel de seguridad</w:t>
      </w:r>
      <w:r w:rsidR="00FE57F9">
        <w:t xml:space="preserve"> [3]</w:t>
      </w:r>
      <w:r w:rsidRPr="00537E64">
        <w:t>. Entre los requisitos identificados destacan la necesidad de movilidad entre sedes, el soporte a dispositivos corporativos e industriales, la coexistencia con servicios inalámbricos ya desplegados y el cumplimiento de las directrices del Esquema Nacional de Seguridad</w:t>
      </w:r>
      <w:r w:rsidR="00FE57F9">
        <w:t xml:space="preserve"> [1]</w:t>
      </w:r>
      <w:r w:rsidRPr="00537E64">
        <w:t>. Asimismo, la infraestructura debe garantizar trazabilidad, gestión centralizada y capacidad para integrar mecanismos de control de acceso y monitorización en tiempo real.</w:t>
      </w:r>
    </w:p>
    <w:p w14:paraId="6A6525C7" w14:textId="257891D8" w:rsidR="00312212" w:rsidRDefault="005A0FF4" w:rsidP="0047225D">
      <w:pPr>
        <w:pStyle w:val="Subsection"/>
      </w:pPr>
      <w:r>
        <w:t xml:space="preserve">Diseño general de la infraestructura </w:t>
      </w:r>
      <w:proofErr w:type="spellStart"/>
      <w:r>
        <w:t>WiFi</w:t>
      </w:r>
      <w:proofErr w:type="spellEnd"/>
      <w:r>
        <w:t xml:space="preserve"> I3D</w:t>
      </w:r>
    </w:p>
    <w:p w14:paraId="47354B37" w14:textId="5E3F4613" w:rsidR="00A57409" w:rsidRDefault="00537E64" w:rsidP="0047225D">
      <w:r w:rsidRPr="00537E64">
        <w:t>El diseño propuesto se basa en una arquitectura corporativa que integra puntos de acceso gestionados, servicios de autenticación centralizados y módulos de monitorización y configuración</w:t>
      </w:r>
      <w:r w:rsidR="00FE57F9">
        <w:t xml:space="preserve"> [4]</w:t>
      </w:r>
      <w:r w:rsidRPr="00537E64">
        <w:t>. La solución se concibe como un sistema escalable y homogéneo, capaz de extender el acceso al dominio DS0 en diferentes tipos de instalaciones</w:t>
      </w:r>
      <w:r w:rsidR="00A57409">
        <w:t>, tal como muestra la Figura 1 para el caso de uso de dispositivos en movilidad</w:t>
      </w:r>
      <w:r w:rsidRPr="00537E64">
        <w:t>.</w:t>
      </w:r>
    </w:p>
    <w:p w14:paraId="4661E3D9" w14:textId="77777777" w:rsidR="00A57409" w:rsidRDefault="00A57409" w:rsidP="00A57409">
      <w:pPr>
        <w:keepNext/>
        <w:jc w:val="center"/>
      </w:pPr>
      <w:r>
        <w:rPr>
          <w:noProof/>
        </w:rPr>
        <w:drawing>
          <wp:inline distT="0" distB="0" distL="0" distR="0" wp14:anchorId="1989D456" wp14:editId="0F38C35A">
            <wp:extent cx="4398706" cy="2331684"/>
            <wp:effectExtent l="0" t="0" r="0" b="0"/>
            <wp:docPr id="1013728655" name="Imagen 2"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28655" name="Imagen 2" descr="Captura de pantalla de un celular&#10;&#10;El contenido generado por IA puede ser incorrec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26718" cy="2346533"/>
                    </a:xfrm>
                    <a:prstGeom prst="rect">
                      <a:avLst/>
                    </a:prstGeom>
                    <a:noFill/>
                  </pic:spPr>
                </pic:pic>
              </a:graphicData>
            </a:graphic>
          </wp:inline>
        </w:drawing>
      </w:r>
    </w:p>
    <w:p w14:paraId="54F01297" w14:textId="40B01B26" w:rsidR="00A57409" w:rsidRDefault="00A57409" w:rsidP="00A57409">
      <w:pPr>
        <w:pStyle w:val="Descripcin"/>
      </w:pPr>
      <w:r w:rsidRPr="00A57409">
        <w:rPr>
          <w:b/>
          <w:bCs w:val="0"/>
        </w:rPr>
        <w:t xml:space="preserve">Figura </w:t>
      </w:r>
      <w:r w:rsidRPr="00A57409">
        <w:rPr>
          <w:b/>
          <w:bCs w:val="0"/>
        </w:rPr>
        <w:fldChar w:fldCharType="begin"/>
      </w:r>
      <w:r w:rsidRPr="00A57409">
        <w:rPr>
          <w:b/>
          <w:bCs w:val="0"/>
        </w:rPr>
        <w:instrText xml:space="preserve"> SEQ Figura \* ARABIC </w:instrText>
      </w:r>
      <w:r w:rsidRPr="00A57409">
        <w:rPr>
          <w:b/>
          <w:bCs w:val="0"/>
        </w:rPr>
        <w:fldChar w:fldCharType="separate"/>
      </w:r>
      <w:r>
        <w:rPr>
          <w:b/>
          <w:bCs w:val="0"/>
          <w:noProof/>
        </w:rPr>
        <w:t>1</w:t>
      </w:r>
      <w:r w:rsidRPr="00A57409">
        <w:rPr>
          <w:b/>
          <w:bCs w:val="0"/>
        </w:rPr>
        <w:fldChar w:fldCharType="end"/>
      </w:r>
      <w:r>
        <w:t xml:space="preserve"> Caso de uso en movilidad</w:t>
      </w:r>
    </w:p>
    <w:p w14:paraId="43CBBE14" w14:textId="1679516C" w:rsidR="00537E64" w:rsidRDefault="00537E64" w:rsidP="0047225D">
      <w:r w:rsidRPr="00537E64">
        <w:t xml:space="preserve"> La arquitectura mantiene una separación clara entre los flujos de usuario, gestión y seguridad, y se apoya en una plataforma de administración que permite aplicar políticas de forma consistente en toda la red. Este enfoque facilita la operación, mejora la disponibilidad del servicio y permite incorporar nuevas funcionalidades sin comprometer la estabilidad del entorno.</w:t>
      </w:r>
    </w:p>
    <w:p w14:paraId="261C35F8" w14:textId="437971BA" w:rsidR="00312212" w:rsidRDefault="005A0FF4" w:rsidP="0047225D">
      <w:pPr>
        <w:pStyle w:val="Subsection"/>
      </w:pPr>
      <w:r>
        <w:t>Seguridad y gestión de la red</w:t>
      </w:r>
    </w:p>
    <w:p w14:paraId="2613E321" w14:textId="3885DABD" w:rsidR="00A57409" w:rsidRDefault="00537E64" w:rsidP="00C211D6">
      <w:r w:rsidRPr="00537E64">
        <w:t>La seguridad constituye un pilar fundamental del diseño, integrando mecanismos de autenticación robusta, control de acceso dinámico y validación del estado de los dispositivos. La gestión centralizada permite supervisar la infraestructura, aplicar políticas de forma uniforme y disponer de visibilidad sobre el comportamiento de la red y los dispositivos conectados. La combinación de autenticación avanzada, segmentación lógica y monitorización continua</w:t>
      </w:r>
      <w:r w:rsidR="00FE57F9">
        <w:t xml:space="preserve"> [5]</w:t>
      </w:r>
      <w:r w:rsidRPr="00537E64">
        <w:t xml:space="preserve"> proporciona un marco adecuado para operar una WLAN corporativa en un entorno institucional, garantizando el cumplimiento normativo y la protección de los servicios ofrecidos.</w:t>
      </w:r>
      <w:r w:rsidR="00A57409">
        <w:t xml:space="preserve"> </w:t>
      </w:r>
    </w:p>
    <w:p w14:paraId="469817C9" w14:textId="77777777" w:rsidR="00C211D6" w:rsidRDefault="00C211D6" w:rsidP="00C211D6">
      <w:r>
        <w:t xml:space="preserve">En la Figura 2 se muestra la coexistencia y separación segura entre la </w:t>
      </w:r>
      <w:proofErr w:type="spellStart"/>
      <w:r>
        <w:t>WiFi</w:t>
      </w:r>
      <w:proofErr w:type="spellEnd"/>
      <w:r>
        <w:t xml:space="preserve"> I3D y la actual RAP. </w:t>
      </w:r>
    </w:p>
    <w:p w14:paraId="6FD7D876" w14:textId="77777777" w:rsidR="00C211D6" w:rsidRDefault="00C211D6" w:rsidP="00C211D6"/>
    <w:p w14:paraId="77E63022" w14:textId="77777777" w:rsidR="00A57409" w:rsidRDefault="00A57409" w:rsidP="00A57409">
      <w:pPr>
        <w:keepNext/>
        <w:jc w:val="center"/>
      </w:pPr>
      <w:r w:rsidRPr="00E026AA">
        <w:rPr>
          <w:noProof/>
        </w:rPr>
        <w:lastRenderedPageBreak/>
        <w:drawing>
          <wp:inline distT="0" distB="0" distL="0" distR="0" wp14:anchorId="3E40B4F7" wp14:editId="536B4B76">
            <wp:extent cx="4915699" cy="1620316"/>
            <wp:effectExtent l="0" t="0" r="0" b="0"/>
            <wp:docPr id="1375144358" name="Imagen 2"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Interfaz de usuario gráfica, Aplicación&#10;&#10;El contenido generado por IA puede ser incorrecto."/>
                    <pic:cNvPicPr>
                      <a:picLocks noChangeAspect="1"/>
                    </pic:cNvPicPr>
                  </pic:nvPicPr>
                  <pic:blipFill>
                    <a:blip r:embed="rId15"/>
                    <a:stretch>
                      <a:fillRect/>
                    </a:stretch>
                  </pic:blipFill>
                  <pic:spPr>
                    <a:xfrm>
                      <a:off x="0" y="0"/>
                      <a:ext cx="4924563" cy="1623238"/>
                    </a:xfrm>
                    <a:prstGeom prst="rect">
                      <a:avLst/>
                    </a:prstGeom>
                  </pic:spPr>
                </pic:pic>
              </a:graphicData>
            </a:graphic>
          </wp:inline>
        </w:drawing>
      </w:r>
    </w:p>
    <w:p w14:paraId="5B05BE6C" w14:textId="7EBC0C82" w:rsidR="00A57409" w:rsidRDefault="00A57409" w:rsidP="00A57409">
      <w:pPr>
        <w:pStyle w:val="Descripcin"/>
      </w:pPr>
      <w:r w:rsidRPr="00A57409">
        <w:rPr>
          <w:b/>
          <w:bCs w:val="0"/>
        </w:rPr>
        <w:t xml:space="preserve">Figura </w:t>
      </w:r>
      <w:r w:rsidRPr="00A57409">
        <w:rPr>
          <w:b/>
          <w:bCs w:val="0"/>
        </w:rPr>
        <w:fldChar w:fldCharType="begin"/>
      </w:r>
      <w:r w:rsidRPr="00A57409">
        <w:rPr>
          <w:b/>
          <w:bCs w:val="0"/>
        </w:rPr>
        <w:instrText xml:space="preserve"> SEQ Figura \* ARABIC </w:instrText>
      </w:r>
      <w:r w:rsidRPr="00A57409">
        <w:rPr>
          <w:b/>
          <w:bCs w:val="0"/>
        </w:rPr>
        <w:fldChar w:fldCharType="separate"/>
      </w:r>
      <w:r w:rsidRPr="00A57409">
        <w:rPr>
          <w:b/>
          <w:bCs w:val="0"/>
          <w:noProof/>
        </w:rPr>
        <w:t>2</w:t>
      </w:r>
      <w:r w:rsidRPr="00A57409">
        <w:rPr>
          <w:b/>
          <w:bCs w:val="0"/>
        </w:rPr>
        <w:fldChar w:fldCharType="end"/>
      </w:r>
      <w:r>
        <w:t xml:space="preserve"> Integración segura con </w:t>
      </w:r>
      <w:proofErr w:type="spellStart"/>
      <w:r>
        <w:t>WiFi</w:t>
      </w:r>
      <w:proofErr w:type="spellEnd"/>
      <w:r>
        <w:t xml:space="preserve"> RAP</w:t>
      </w:r>
    </w:p>
    <w:p w14:paraId="6C5AA393" w14:textId="2DA45F87" w:rsidR="00312212" w:rsidRDefault="00312212" w:rsidP="0047225D">
      <w:pPr>
        <w:pStyle w:val="Subsection"/>
      </w:pPr>
      <w:r>
        <w:t>Tipologías de tráfico</w:t>
      </w:r>
    </w:p>
    <w:p w14:paraId="4AFEF5B2" w14:textId="6460DE9B" w:rsidR="00537E64" w:rsidRDefault="00537E64" w:rsidP="0047225D">
      <w:r w:rsidRPr="00537E64">
        <w:t>La infraestructura inalámbrica genera distintos tipos de tráfico que deben ser tratados de forma diferenciada para asegurar un funcionamiento eficiente. El tráfico de usuario corresponde al acceso a los servicios corporativos; el de monitorización permite obtener información en tiempo real sobre el estado de la red; el de configuración se utiliza para la gestión de los equipos; y el tráfico de seguridad engloba los intercambios necesarios para los procesos de autenticación, autorización y control de acceso. Esta clasificación facilita la comprensión del comportamiento global del sistema y permite aplicar políticas específicas a cada categoría</w:t>
      </w:r>
      <w:r w:rsidR="00FE57F9">
        <w:t xml:space="preserve"> [4]</w:t>
      </w:r>
      <w:r w:rsidRPr="00537E64">
        <w:t>.</w:t>
      </w:r>
    </w:p>
    <w:p w14:paraId="3DA38712" w14:textId="04E87951" w:rsidR="00312212" w:rsidRDefault="00312212" w:rsidP="0047225D">
      <w:pPr>
        <w:pStyle w:val="Subsection"/>
      </w:pPr>
      <w:r>
        <w:t>Escenarios del piloto</w:t>
      </w:r>
    </w:p>
    <w:p w14:paraId="4A02BF7E" w14:textId="77777777" w:rsidR="00FE57F9" w:rsidRDefault="00537E64" w:rsidP="0047225D">
      <w:r w:rsidRPr="00537E64">
        <w:t>El piloto se estructura en tres escenarios representativos de las necesidades reales del MINISDEF.</w:t>
      </w:r>
    </w:p>
    <w:p w14:paraId="50289673" w14:textId="77777777" w:rsidR="00FE57F9" w:rsidRDefault="00537E64" w:rsidP="0047225D">
      <w:pPr>
        <w:pStyle w:val="Prrafodelista"/>
        <w:numPr>
          <w:ilvl w:val="0"/>
          <w:numId w:val="34"/>
        </w:numPr>
      </w:pPr>
      <w:r w:rsidRPr="00537E64">
        <w:t xml:space="preserve">El escenario de movilidad evalúa la capacidad de un usuario para desplazarse entre acuartelamientos manteniendo el acceso a los servicios del dominio DS0. </w:t>
      </w:r>
    </w:p>
    <w:p w14:paraId="3EB1B037" w14:textId="77777777" w:rsidR="00FE57F9" w:rsidRDefault="00537E64" w:rsidP="0047225D">
      <w:pPr>
        <w:pStyle w:val="Prrafodelista"/>
        <w:numPr>
          <w:ilvl w:val="0"/>
          <w:numId w:val="34"/>
        </w:numPr>
      </w:pPr>
      <w:r w:rsidRPr="00537E64">
        <w:t xml:space="preserve">El escenario logístico analiza la integración de dispositivos industriales e </w:t>
      </w:r>
      <w:proofErr w:type="spellStart"/>
      <w:r w:rsidRPr="00537E64">
        <w:t>IoT</w:t>
      </w:r>
      <w:proofErr w:type="spellEnd"/>
      <w:r w:rsidRPr="00537E64">
        <w:t xml:space="preserve"> con los sistemas corporativos a través de la red inalámbrica. </w:t>
      </w:r>
    </w:p>
    <w:p w14:paraId="4ABE7FF4" w14:textId="77777777" w:rsidR="00FE57F9" w:rsidRDefault="00537E64" w:rsidP="0047225D">
      <w:pPr>
        <w:pStyle w:val="Prrafodelista"/>
        <w:numPr>
          <w:ilvl w:val="0"/>
          <w:numId w:val="34"/>
        </w:numPr>
      </w:pPr>
      <w:r w:rsidRPr="00537E64">
        <w:t xml:space="preserve">Por último, el escenario sanitario estudia la coexistencia de servicios orientados al personal con servicios clínicos y administrativos, demostrando la capacidad de la infraestructura para operar en entornos con requisitos funcionales diversos. </w:t>
      </w:r>
    </w:p>
    <w:p w14:paraId="1F12B1A7" w14:textId="41C20173" w:rsidR="00440F0E" w:rsidRPr="00440F0E" w:rsidRDefault="00537E64" w:rsidP="0047225D">
      <w:r w:rsidRPr="00537E64">
        <w:t>Estos escenarios permiten validar la solución en condiciones realistas y extraer conclusiones aplicables al despliegue futuro.</w:t>
      </w:r>
    </w:p>
    <w:p w14:paraId="5F14B6ED" w14:textId="31D9611C" w:rsidR="003067C8" w:rsidRPr="0041237B" w:rsidRDefault="00312212" w:rsidP="0047225D">
      <w:pPr>
        <w:pStyle w:val="Section"/>
      </w:pPr>
      <w:r>
        <w:t>Resultado de pruebas y evaluación</w:t>
      </w:r>
    </w:p>
    <w:p w14:paraId="67FE588D" w14:textId="77777777" w:rsidR="008D4512" w:rsidRPr="008D4512" w:rsidRDefault="008D4512" w:rsidP="0047225D">
      <w:pPr>
        <w:pStyle w:val="Prrafodelista"/>
        <w:numPr>
          <w:ilvl w:val="0"/>
          <w:numId w:val="8"/>
        </w:numPr>
        <w:rPr>
          <w:i/>
          <w:vanish/>
        </w:rPr>
      </w:pPr>
    </w:p>
    <w:p w14:paraId="38BA8C1F" w14:textId="650E1311" w:rsidR="00E84C08" w:rsidRDefault="00312212" w:rsidP="0047225D">
      <w:pPr>
        <w:pStyle w:val="Subsection"/>
      </w:pPr>
      <w:r>
        <w:t>Objetivos del piloto</w:t>
      </w:r>
    </w:p>
    <w:p w14:paraId="6425F995" w14:textId="5483335F" w:rsidR="003E2D22" w:rsidRDefault="003E2D22" w:rsidP="0047225D">
      <w:r w:rsidRPr="003E2D22">
        <w:t>El piloto se diseñó con el propósito de validar la viabilidad técnica de la infraestructura inalámbrica propuesta para el dominio DS0 de la I3D</w:t>
      </w:r>
      <w:r w:rsidR="00FE57F9">
        <w:t xml:space="preserve"> [3]</w:t>
      </w:r>
      <w:r w:rsidRPr="003E2D22">
        <w:t>. Sus objetivos principales fueron comprobar el correcto funcionamiento de los mecanismos de autenticación y control de acceso, evaluar la integración con los sistemas corporativos existentes y analizar el comportamiento de la red en escenarios representativos del entorno MINISDEF. Asimismo, se buscó verificar la capacidad de la plataforma de gestión para ofrecer visibilidad, trazabilidad y control centralizado, así como confirmar que la arquitectura propuesta permite operar de forma segura y estable en contextos de movilidad, entornos logísticos y áreas sanitarias.</w:t>
      </w:r>
    </w:p>
    <w:p w14:paraId="0A7A7060" w14:textId="160E2386" w:rsidR="00312212" w:rsidRDefault="00312212" w:rsidP="0047225D">
      <w:pPr>
        <w:pStyle w:val="Subsection"/>
      </w:pPr>
      <w:r>
        <w:t xml:space="preserve">Metodología de </w:t>
      </w:r>
      <w:r w:rsidR="005A0FF4">
        <w:t>pruebas</w:t>
      </w:r>
    </w:p>
    <w:p w14:paraId="5B5969A7" w14:textId="672245C0" w:rsidR="003E2D22" w:rsidRDefault="003E2D22" w:rsidP="0047225D">
      <w:r w:rsidRPr="003E2D22">
        <w:lastRenderedPageBreak/>
        <w:t>La metodología aplicada se estructuró en fases que permitieron evaluar de forma progresiva los distintos componentes de la solución. En primer lugar, se realizaron pruebas funcionales orientadas a validar los procesos de autenticación, la asignación de políticas y el acceso a los servicios del dominio DS0. Posteriormente, se llevaron a cabo pruebas de integración para comprobar la interacción con los sistemas corporativos implicados en la operación del servicio. A continuación, se ejecutaron pruebas de monitorización y visibilidad para evaluar la capacidad de la plataforma de gestión en la supervisión de la infraestructura y los dispositivos conectados</w:t>
      </w:r>
      <w:r w:rsidR="00FE57F9">
        <w:t xml:space="preserve"> [4,5]</w:t>
      </w:r>
      <w:r w:rsidRPr="003E2D22">
        <w:t>. Finalmente, se analizaron escenarios específicos de movilidad, logística y entorno sanitario, con el fin de reproducir situaciones reales de uso y valorar el comportamiento global de la red en condiciones operativas diversas.</w:t>
      </w:r>
    </w:p>
    <w:p w14:paraId="3C4EE03F" w14:textId="0A777C89" w:rsidR="00312212" w:rsidRDefault="005A0FF4" w:rsidP="0047225D">
      <w:pPr>
        <w:pStyle w:val="Subsection"/>
      </w:pPr>
      <w:r>
        <w:t>Resultados</w:t>
      </w:r>
    </w:p>
    <w:p w14:paraId="30EA5D2C" w14:textId="5F97F7CC" w:rsidR="003E2D22" w:rsidRDefault="003E2D22" w:rsidP="0047225D">
      <w:r w:rsidRPr="003E2D22">
        <w:t>Los resultados obtenidos confirman que la arquitectura propuesta cumple los requisitos funcionales y operativos definidos para la infraestructura inalámbrica de la I3D</w:t>
      </w:r>
      <w:r w:rsidR="00FE57F9">
        <w:t xml:space="preserve"> [4]</w:t>
      </w:r>
      <w:r w:rsidRPr="003E2D22">
        <w:t>. Las pruebas de autenticación demostraron un funcionamiento estable y coherente con las políticas de acceso previstas, mientras que las pruebas de integración evidenciaron una correcta interacción con los sistemas corporativos implicados. La plataforma de gestión mostró capacidad para proporcionar visibilidad en tiempo real, aplicar configuraciones de forma centralizada y detectar eventos relevantes para la operación del servicio. En los escenarios de movilidad, la red mantuvo la continuidad del acceso; en el entorno logístico, los dispositivos industriales se integraron adecuadamente</w:t>
      </w:r>
      <w:r w:rsidR="002C6F8F">
        <w:t xml:space="preserve">, pero </w:t>
      </w:r>
      <w:r w:rsidR="00283C0F">
        <w:t>está</w:t>
      </w:r>
      <w:r w:rsidR="002C6F8F">
        <w:t xml:space="preserve"> siendo necesario continuar con el piloto para ir realizando más pruebas, como realizar NAT para solventar la escasez de direcciones IP v.4 del rango asignado y decidir si se crea un nuevo MDM para todos estos dispositivos</w:t>
      </w:r>
      <w:r w:rsidRPr="003E2D22">
        <w:t>; y en el entorno sanitario, la coexistencia de servicios se gestionó de forma eficiente.</w:t>
      </w:r>
    </w:p>
    <w:p w14:paraId="679E5BEC" w14:textId="77777777" w:rsidR="004F7A60" w:rsidRDefault="00E84C08" w:rsidP="0047225D">
      <w:pPr>
        <w:pStyle w:val="Section"/>
      </w:pPr>
      <w:r w:rsidRPr="0041237B">
        <w:t>Conclusiones</w:t>
      </w:r>
    </w:p>
    <w:p w14:paraId="44F06710" w14:textId="77777777" w:rsidR="008D4512" w:rsidRPr="008D4512" w:rsidRDefault="008D4512" w:rsidP="0047225D">
      <w:pPr>
        <w:pStyle w:val="Prrafodelista"/>
        <w:numPr>
          <w:ilvl w:val="0"/>
          <w:numId w:val="8"/>
        </w:numPr>
        <w:rPr>
          <w:i/>
          <w:vanish/>
        </w:rPr>
      </w:pPr>
    </w:p>
    <w:p w14:paraId="3137B6D9" w14:textId="6960E2F9" w:rsidR="003E2D22" w:rsidRDefault="005A0FF4" w:rsidP="0047225D">
      <w:pPr>
        <w:pStyle w:val="Subsection"/>
      </w:pPr>
      <w:r>
        <w:t>Principales resultados</w:t>
      </w:r>
    </w:p>
    <w:p w14:paraId="3D4801D0" w14:textId="77777777" w:rsidR="002C6F8F" w:rsidRDefault="003E2D22" w:rsidP="0047225D">
      <w:pPr>
        <w:rPr>
          <w:rFonts w:eastAsia="Times New Roman"/>
          <w:lang w:eastAsia="es-ES"/>
        </w:rPr>
      </w:pPr>
      <w:r w:rsidRPr="003E2D22">
        <w:rPr>
          <w:rFonts w:eastAsia="Times New Roman"/>
          <w:lang w:eastAsia="es-ES"/>
        </w:rPr>
        <w:t>El estudio realizado y el piloto ejecutado permiten concluir que la infraestructura inalámbrica propuesta para el dominio DS0 de la I3D es técnicamente viable y cumple los requisitos funcionales, operativos y de seguridad identificados para el entorno MINISDEF. La arquitectura diseñada demuestra capacidad para ofrecer conectividad estable y segura en escenarios de movilidad, logística y entorno sanitario, manteniendo una gestión centralizada coherente con las necesidades de una red corporativa de gran escala. Los mecanismos de autenticación y control de acceso funcionan de manera consistente, la plataforma de gestión proporciona visibilidad y trazabilidad adecuadas, y la separación de flujos garantiza un comportamiento ordenado y predecible del servicio</w:t>
      </w:r>
      <w:r w:rsidR="00FE57F9">
        <w:rPr>
          <w:rFonts w:eastAsia="Times New Roman"/>
          <w:lang w:eastAsia="es-ES"/>
        </w:rPr>
        <w:t xml:space="preserve"> [4,5]</w:t>
      </w:r>
      <w:r w:rsidRPr="003E2D22">
        <w:rPr>
          <w:rFonts w:eastAsia="Times New Roman"/>
          <w:lang w:eastAsia="es-ES"/>
        </w:rPr>
        <w:t xml:space="preserve">. </w:t>
      </w:r>
    </w:p>
    <w:p w14:paraId="3F838EE5" w14:textId="06D8913A" w:rsidR="003E2D22" w:rsidRDefault="003E2D22" w:rsidP="0047225D">
      <w:r w:rsidRPr="003E2D22">
        <w:rPr>
          <w:rFonts w:eastAsia="Times New Roman"/>
          <w:lang w:eastAsia="es-ES"/>
        </w:rPr>
        <w:t>En conjunto, los resultados validan el enfoque arquitectónico adoptado y confirman que la solución puede servir como base para un despliegue progresivo en la I3D.</w:t>
      </w:r>
    </w:p>
    <w:p w14:paraId="0D622747" w14:textId="7AAFE596" w:rsidR="005A0FF4" w:rsidRDefault="005A0FF4" w:rsidP="0047225D">
      <w:pPr>
        <w:pStyle w:val="Subsection"/>
      </w:pPr>
      <w:r>
        <w:t>Limitaciones y recomendaciones</w:t>
      </w:r>
    </w:p>
    <w:p w14:paraId="714127D4" w14:textId="77777777" w:rsidR="00F076A5" w:rsidRDefault="003E2D22" w:rsidP="0047225D">
      <w:r w:rsidRPr="003E2D22">
        <w:t xml:space="preserve">Aunque el piloto ha permitido evaluar la solución en escenarios representativos, su alcance está necesariamente limitado por el entorno controlado en el que se ha ejecutado. No se han podido reproducir todas las casuísticas operativas que pueden darse en instalaciones reales, ni se ha evaluado el comportamiento de la red bajo cargas extremas o en situaciones de contingencia. Asimismo, la integración con determinados sistemas corporativos podría requerir ajustes adicionales en fases posteriores del despliegue. </w:t>
      </w:r>
    </w:p>
    <w:p w14:paraId="5932DE25" w14:textId="401142EC" w:rsidR="003E2D22" w:rsidRDefault="003E2D22" w:rsidP="0047225D">
      <w:r w:rsidRPr="003E2D22">
        <w:lastRenderedPageBreak/>
        <w:t>Como recomendaciones principales, se propone ampliar las pruebas en entornos reales de mayor escala, reforzar los procedimientos de operación y mantenimiento</w:t>
      </w:r>
      <w:r w:rsidR="00FE57F9">
        <w:t xml:space="preserve"> [3]</w:t>
      </w:r>
      <w:r w:rsidRPr="003E2D22">
        <w:t>, y establecer un plan de formación para los equipos responsables de la administración de la infraestructura. También se sugiere consolidar mecanismos de supervisión continua que permitan anticipar incidencias y optimizar el rendimiento del servicio.</w:t>
      </w:r>
    </w:p>
    <w:p w14:paraId="35CBF0D3" w14:textId="49462D06" w:rsidR="005A0FF4" w:rsidRDefault="005A0FF4" w:rsidP="0047225D">
      <w:pPr>
        <w:pStyle w:val="Subsection"/>
      </w:pPr>
      <w:r>
        <w:t>Líneas futuras</w:t>
      </w:r>
    </w:p>
    <w:p w14:paraId="03F3EE7F" w14:textId="77777777" w:rsidR="00F076A5" w:rsidRDefault="003E2D22" w:rsidP="0047225D">
      <w:r w:rsidRPr="003E2D22">
        <w:t xml:space="preserve">De cara a la evolución de la infraestructura inalámbrica de la I3D, se identifican varias líneas de trabajo que permitirán mejorar su madurez y adaptabilidad. Entre ellas destacan la ampliación del despliegue a nuevas sedes, la incorporación progresiva de capacidades avanzadas de análisis y automatización, y la integración con soluciones de gestión de dispositivos y políticas corporativas más amplias. Asimismo, la evolución de los estándares </w:t>
      </w:r>
      <w:proofErr w:type="spellStart"/>
      <w:r w:rsidRPr="003E2D22">
        <w:t>WiFi</w:t>
      </w:r>
      <w:proofErr w:type="spellEnd"/>
      <w:r w:rsidRPr="003E2D22">
        <w:t xml:space="preserve"> y la creciente presencia de dispositivos </w:t>
      </w:r>
      <w:proofErr w:type="spellStart"/>
      <w:r w:rsidRPr="003E2D22">
        <w:t>IoT</w:t>
      </w:r>
      <w:proofErr w:type="spellEnd"/>
      <w:r w:rsidRPr="003E2D22">
        <w:t xml:space="preserve"> abren la puerta a explorar nuevas funcionalidades orientadas a la eficiencia operativa, la segmentación dinámica y la mejora de la experiencia de usuario</w:t>
      </w:r>
      <w:r w:rsidR="00205A2F">
        <w:t xml:space="preserve"> [2,6]</w:t>
      </w:r>
      <w:r w:rsidRPr="003E2D22">
        <w:t xml:space="preserve">. </w:t>
      </w:r>
    </w:p>
    <w:p w14:paraId="7B6047A8" w14:textId="6175EC37" w:rsidR="003E2D22" w:rsidRPr="00312212" w:rsidRDefault="003E2D22" w:rsidP="0047225D">
      <w:r w:rsidRPr="003E2D22">
        <w:t>Estas líneas futuras permitirán consolidar una infraestructura inalámbrica robusta, escalable y alineada con las necesidades estratégicas del Ministerio de Defensa.</w:t>
      </w:r>
    </w:p>
    <w:p w14:paraId="0626C558" w14:textId="2234C4DC" w:rsidR="008977A6" w:rsidRPr="0069759C" w:rsidRDefault="008977A6" w:rsidP="0047225D">
      <w:pPr>
        <w:pStyle w:val="Reftitle"/>
        <w:ind w:firstLine="0"/>
        <w:rPr>
          <w:lang w:val="es-ES"/>
        </w:rPr>
      </w:pPr>
      <w:r w:rsidRPr="00991370">
        <w:rPr>
          <w:lang w:val="es-ES"/>
        </w:rPr>
        <w:t>R</w:t>
      </w:r>
      <w:r w:rsidR="00A4407A" w:rsidRPr="00991370">
        <w:rPr>
          <w:lang w:val="es-ES"/>
        </w:rPr>
        <w:t>eferencias</w:t>
      </w:r>
    </w:p>
    <w:p w14:paraId="16B69A19" w14:textId="5282A6C0" w:rsidR="001B1300" w:rsidRPr="00686E60" w:rsidRDefault="00205A2F" w:rsidP="0047225D">
      <w:pPr>
        <w:pStyle w:val="ReferencesSection"/>
        <w:spacing w:after="160"/>
        <w:rPr>
          <w:lang w:val="es-ES"/>
        </w:rPr>
      </w:pPr>
      <w:r w:rsidRPr="00205A2F">
        <w:rPr>
          <w:lang w:val="es-ES"/>
        </w:rPr>
        <w:t>Gobierno de España. Esquema Nacional de Seguridad (ENS) [Internet]. Ministerio de Asuntos Económicos y Transformación Digital; 2022 [citado 15 Ene 2026]. Disponible en: https://www.boe.es</w:t>
      </w:r>
      <w:r w:rsidR="001B1300" w:rsidRPr="001B1300">
        <w:rPr>
          <w:lang w:val="es-ES"/>
        </w:rPr>
        <w:t>CCN</w:t>
      </w:r>
      <w:r w:rsidR="001B1300" w:rsidRPr="001B1300">
        <w:rPr>
          <w:lang w:val="es-ES"/>
        </w:rPr>
        <w:noBreakHyphen/>
        <w:t>CERT. Guías CCN</w:t>
      </w:r>
      <w:r w:rsidR="001B1300" w:rsidRPr="001B1300">
        <w:rPr>
          <w:lang w:val="es-ES"/>
        </w:rPr>
        <w:noBreakHyphen/>
        <w:t>STIC para la protección de redes inalámbricas. Centro Criptológico Nacional; 2022.</w:t>
      </w:r>
    </w:p>
    <w:p w14:paraId="687A4CFB" w14:textId="7457A358" w:rsidR="00205A2F" w:rsidRPr="00205A2F" w:rsidRDefault="00205A2F" w:rsidP="0047225D">
      <w:pPr>
        <w:pStyle w:val="ReferencesSection"/>
        <w:spacing w:after="160"/>
        <w:rPr>
          <w:lang w:val="en-US"/>
        </w:rPr>
      </w:pPr>
      <w:r w:rsidRPr="00205A2F">
        <w:t>IEEE. IEEE 802.11 Wireless LAN Standards. Institute of Electrical and Electronics Engineers; 1997–2021.</w:t>
      </w:r>
    </w:p>
    <w:p w14:paraId="2AFF883F" w14:textId="2616FBDA" w:rsidR="00205A2F" w:rsidRPr="00205A2F" w:rsidRDefault="00205A2F" w:rsidP="0047225D">
      <w:pPr>
        <w:pStyle w:val="ReferencesSection"/>
        <w:spacing w:after="160"/>
        <w:rPr>
          <w:lang w:val="en-US"/>
        </w:rPr>
      </w:pPr>
      <w:r w:rsidRPr="00205A2F">
        <w:rPr>
          <w:lang w:val="es-ES"/>
        </w:rPr>
        <w:t>CCN</w:t>
      </w:r>
      <w:r w:rsidRPr="00205A2F">
        <w:rPr>
          <w:lang w:val="es-ES"/>
        </w:rPr>
        <w:noBreakHyphen/>
        <w:t>CERT. Guías CCN</w:t>
      </w:r>
      <w:r w:rsidRPr="00205A2F">
        <w:rPr>
          <w:lang w:val="es-ES"/>
        </w:rPr>
        <w:noBreakHyphen/>
        <w:t>STIC para la protección de redes inalámbricas. Centro Criptológico Nacional; 2022.</w:t>
      </w:r>
    </w:p>
    <w:p w14:paraId="2D591788" w14:textId="172E486F" w:rsidR="00205A2F" w:rsidRPr="00205A2F" w:rsidRDefault="00205A2F" w:rsidP="0047225D">
      <w:pPr>
        <w:pStyle w:val="ReferencesSection"/>
        <w:spacing w:after="160"/>
        <w:rPr>
          <w:lang w:val="en-US"/>
        </w:rPr>
      </w:pPr>
      <w:r w:rsidRPr="00205A2F">
        <w:rPr>
          <w:lang w:val="es-ES"/>
        </w:rPr>
        <w:t>Aruba Networks. Soluciones WLAN corporativas y arquitectura basada en controladoras. Hewlett Packard Enterprise; 2023.</w:t>
      </w:r>
    </w:p>
    <w:p w14:paraId="03327F6F" w14:textId="42787D23" w:rsidR="00205A2F" w:rsidRPr="00205A2F" w:rsidRDefault="00205A2F" w:rsidP="0047225D">
      <w:pPr>
        <w:pStyle w:val="ReferencesSection"/>
        <w:spacing w:after="160"/>
        <w:rPr>
          <w:lang w:val="en-US"/>
        </w:rPr>
      </w:pPr>
      <w:r w:rsidRPr="00205A2F">
        <w:rPr>
          <w:lang w:val="es-ES"/>
        </w:rPr>
        <w:t xml:space="preserve">Microsoft. Arquitecturas de autenticación 802.1X, RADIUS y PKI en entornos empresariales [Internet]. [citado 14 Ene 2026]. Disponible en: </w:t>
      </w:r>
      <w:hyperlink r:id="rId16" w:history="1">
        <w:r w:rsidRPr="006F0DB1">
          <w:rPr>
            <w:rStyle w:val="Hipervnculo"/>
            <w:lang w:val="es-ES"/>
          </w:rPr>
          <w:t>https://learn.microsoft.com</w:t>
        </w:r>
      </w:hyperlink>
    </w:p>
    <w:p w14:paraId="20F15107" w14:textId="6A48C7D1" w:rsidR="00E74477" w:rsidRPr="00E74477" w:rsidRDefault="00E74477" w:rsidP="0047225D">
      <w:pPr>
        <w:pStyle w:val="ReferencesSection"/>
        <w:spacing w:after="160"/>
        <w:rPr>
          <w:lang w:val="es-ES"/>
        </w:rPr>
      </w:pPr>
      <w:r w:rsidRPr="00E74477">
        <w:rPr>
          <w:lang w:val="es-ES"/>
        </w:rPr>
        <w:t xml:space="preserve">IEEE. Evolución de los estándares </w:t>
      </w:r>
      <w:proofErr w:type="spellStart"/>
      <w:r w:rsidRPr="00E74477">
        <w:rPr>
          <w:lang w:val="es-ES"/>
        </w:rPr>
        <w:t>WiFi</w:t>
      </w:r>
      <w:proofErr w:type="spellEnd"/>
      <w:r w:rsidRPr="00E74477">
        <w:rPr>
          <w:lang w:val="es-ES"/>
        </w:rPr>
        <w:t xml:space="preserve">: 802.11n, 802.11ac, 802.11ax y 802.11be [Internet]. [citado 13 Ene 2026]. Disponible en: </w:t>
      </w:r>
      <w:hyperlink r:id="rId17" w:history="1">
        <w:r w:rsidRPr="006F0DB1">
          <w:rPr>
            <w:rStyle w:val="Hipervnculo"/>
            <w:lang w:val="es-ES"/>
          </w:rPr>
          <w:t>https://www.ieee.org</w:t>
        </w:r>
      </w:hyperlink>
    </w:p>
    <w:sectPr w:rsidR="00E74477" w:rsidRPr="00E74477" w:rsidSect="007322A7">
      <w:type w:val="continuous"/>
      <w:pgSz w:w="11906" w:h="16838"/>
      <w:pgMar w:top="1021" w:right="1077" w:bottom="102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D0DF" w14:textId="77777777" w:rsidR="00AE6991" w:rsidRDefault="00AE6991" w:rsidP="0084620C">
      <w:r>
        <w:separator/>
      </w:r>
    </w:p>
  </w:endnote>
  <w:endnote w:type="continuationSeparator" w:id="0">
    <w:p w14:paraId="2F7FDE0A" w14:textId="77777777" w:rsidR="00AE6991" w:rsidRDefault="00AE6991" w:rsidP="0084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58EF" w14:textId="77777777" w:rsidR="007322A7" w:rsidRDefault="007322A7">
    <w:pPr>
      <w:pStyle w:val="Piedepgina"/>
    </w:pPr>
  </w:p>
  <w:p w14:paraId="0811BEFD" w14:textId="77777777" w:rsidR="007322A7" w:rsidRDefault="007322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F8C0" w14:textId="77777777" w:rsidR="00AE6991" w:rsidRDefault="00AE6991" w:rsidP="0084620C">
      <w:r>
        <w:separator/>
      </w:r>
    </w:p>
  </w:footnote>
  <w:footnote w:type="continuationSeparator" w:id="0">
    <w:p w14:paraId="75DF7EA7" w14:textId="77777777" w:rsidR="00AE6991" w:rsidRDefault="00AE6991" w:rsidP="00846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4BA3" w14:textId="77777777" w:rsidR="005C34BB" w:rsidRPr="00880A2D" w:rsidRDefault="00A5389A" w:rsidP="00D72969">
    <w:pPr>
      <w:pStyle w:val="Encabezado"/>
      <w:spacing w:after="240"/>
      <w:ind w:firstLine="357"/>
      <w:jc w:val="right"/>
    </w:pPr>
    <w:r>
      <w:t>Máster Universitario en Dirección TIC para la Defensa, 20</w:t>
    </w:r>
    <w:r w:rsidR="00B82EB3">
      <w:t>xx</w:t>
    </w:r>
    <w:r>
      <w:t>-20</w:t>
    </w:r>
    <w:r w:rsidR="00B82EB3">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1743" w14:textId="30812383" w:rsidR="00847C88" w:rsidRDefault="00A5389A" w:rsidP="00D72969">
    <w:pPr>
      <w:pStyle w:val="Encabezado"/>
      <w:spacing w:after="240"/>
      <w:ind w:firstLine="357"/>
    </w:pPr>
    <w:r>
      <w:t>Máster Universitario en Dirección TIC para la Defensa, 20</w:t>
    </w:r>
    <w:r w:rsidR="00991370">
      <w:t>24</w:t>
    </w:r>
    <w:r>
      <w:t>-20</w:t>
    </w:r>
    <w:r w:rsidR="00991370">
      <w:t>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D74"/>
    <w:multiLevelType w:val="multilevel"/>
    <w:tmpl w:val="A790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F6CEB"/>
    <w:multiLevelType w:val="multilevel"/>
    <w:tmpl w:val="A1BEA10A"/>
    <w:lvl w:ilvl="0">
      <w:start w:val="1"/>
      <w:numFmt w:val="decimal"/>
      <w:pStyle w:val="Section"/>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03190B72"/>
    <w:multiLevelType w:val="multilevel"/>
    <w:tmpl w:val="7846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20B6B"/>
    <w:multiLevelType w:val="hybridMultilevel"/>
    <w:tmpl w:val="6C90286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B82351C"/>
    <w:multiLevelType w:val="multilevel"/>
    <w:tmpl w:val="4D46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054C2"/>
    <w:multiLevelType w:val="multilevel"/>
    <w:tmpl w:val="A02C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F3BAF"/>
    <w:multiLevelType w:val="multilevel"/>
    <w:tmpl w:val="F0D2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A28C0"/>
    <w:multiLevelType w:val="hybridMultilevel"/>
    <w:tmpl w:val="2026B164"/>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B775874"/>
    <w:multiLevelType w:val="multilevel"/>
    <w:tmpl w:val="3B28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743A8"/>
    <w:multiLevelType w:val="multilevel"/>
    <w:tmpl w:val="AE34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AE2C6D"/>
    <w:multiLevelType w:val="hybridMultilevel"/>
    <w:tmpl w:val="E3A24F9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1A53EC9"/>
    <w:multiLevelType w:val="multilevel"/>
    <w:tmpl w:val="E11C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109D6"/>
    <w:multiLevelType w:val="multilevel"/>
    <w:tmpl w:val="ECA28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4A3206"/>
    <w:multiLevelType w:val="multilevel"/>
    <w:tmpl w:val="D84A2988"/>
    <w:lvl w:ilvl="0">
      <w:start w:val="1"/>
      <w:numFmt w:val="decimal"/>
      <w:lvlText w:val="%1."/>
      <w:lvlJc w:val="left"/>
      <w:pPr>
        <w:ind w:left="360" w:hanging="360"/>
      </w:pPr>
    </w:lvl>
    <w:lvl w:ilvl="1">
      <w:start w:val="1"/>
      <w:numFmt w:val="decimal"/>
      <w:pStyle w:val="Subsectio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8B4FCD"/>
    <w:multiLevelType w:val="hybridMultilevel"/>
    <w:tmpl w:val="D4CC2FE2"/>
    <w:lvl w:ilvl="0" w:tplc="59603006">
      <w:start w:val="1"/>
      <w:numFmt w:val="lowerLetter"/>
      <w:pStyle w:val="Numberedlist"/>
      <w:lvlText w:val="(%1)"/>
      <w:lvlJc w:val="left"/>
      <w:pPr>
        <w:ind w:left="720" w:hanging="360"/>
      </w:pPr>
      <w:rPr>
        <w:rFonts w:eastAsia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178495C"/>
    <w:multiLevelType w:val="multilevel"/>
    <w:tmpl w:val="36E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504C1"/>
    <w:multiLevelType w:val="multilevel"/>
    <w:tmpl w:val="FD76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C5157A"/>
    <w:multiLevelType w:val="multilevel"/>
    <w:tmpl w:val="4A54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617FF4"/>
    <w:multiLevelType w:val="hybridMultilevel"/>
    <w:tmpl w:val="C86EAC46"/>
    <w:lvl w:ilvl="0" w:tplc="A6709C82">
      <w:start w:val="1"/>
      <w:numFmt w:val="decimal"/>
      <w:pStyle w:val="ReferencesSectio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03A131B"/>
    <w:multiLevelType w:val="hybridMultilevel"/>
    <w:tmpl w:val="57BE98F2"/>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51D8063B"/>
    <w:multiLevelType w:val="multilevel"/>
    <w:tmpl w:val="8358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B24F5"/>
    <w:multiLevelType w:val="multilevel"/>
    <w:tmpl w:val="A1BEA10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5FA20D15"/>
    <w:multiLevelType w:val="hybridMultilevel"/>
    <w:tmpl w:val="B60C6FA4"/>
    <w:lvl w:ilvl="0" w:tplc="D1BA528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6C1272B"/>
    <w:multiLevelType w:val="multilevel"/>
    <w:tmpl w:val="B878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934401">
    <w:abstractNumId w:val="14"/>
  </w:num>
  <w:num w:numId="2" w16cid:durableId="1806964496">
    <w:abstractNumId w:val="10"/>
  </w:num>
  <w:num w:numId="3" w16cid:durableId="293103335">
    <w:abstractNumId w:val="18"/>
  </w:num>
  <w:num w:numId="4" w16cid:durableId="639384843">
    <w:abstractNumId w:val="1"/>
  </w:num>
  <w:num w:numId="5" w16cid:durableId="2112118527">
    <w:abstractNumId w:val="22"/>
  </w:num>
  <w:num w:numId="6" w16cid:durableId="1507599433">
    <w:abstractNumId w:val="19"/>
  </w:num>
  <w:num w:numId="7" w16cid:durableId="1792673848">
    <w:abstractNumId w:val="7"/>
  </w:num>
  <w:num w:numId="8" w16cid:durableId="2045908060">
    <w:abstractNumId w:val="13"/>
  </w:num>
  <w:num w:numId="9" w16cid:durableId="708140816">
    <w:abstractNumId w:val="18"/>
  </w:num>
  <w:num w:numId="10" w16cid:durableId="1732578729">
    <w:abstractNumId w:val="13"/>
  </w:num>
  <w:num w:numId="11" w16cid:durableId="108166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359501">
    <w:abstractNumId w:val="13"/>
    <w:lvlOverride w:ilvl="0">
      <w:startOverride w:val="2"/>
    </w:lvlOverride>
    <w:lvlOverride w:ilvl="1">
      <w:startOverride w:val="1"/>
    </w:lvlOverride>
  </w:num>
  <w:num w:numId="13" w16cid:durableId="766273597">
    <w:abstractNumId w:val="13"/>
    <w:lvlOverride w:ilvl="0">
      <w:startOverride w:val="2"/>
    </w:lvlOverride>
    <w:lvlOverride w:ilvl="1">
      <w:startOverride w:val="1"/>
    </w:lvlOverride>
  </w:num>
  <w:num w:numId="14" w16cid:durableId="928392344">
    <w:abstractNumId w:val="15"/>
  </w:num>
  <w:num w:numId="15" w16cid:durableId="468010312">
    <w:abstractNumId w:val="8"/>
  </w:num>
  <w:num w:numId="16" w16cid:durableId="1666393488">
    <w:abstractNumId w:val="6"/>
  </w:num>
  <w:num w:numId="17" w16cid:durableId="161238079">
    <w:abstractNumId w:val="11"/>
  </w:num>
  <w:num w:numId="18" w16cid:durableId="174347725">
    <w:abstractNumId w:val="17"/>
  </w:num>
  <w:num w:numId="19" w16cid:durableId="1274754030">
    <w:abstractNumId w:val="20"/>
  </w:num>
  <w:num w:numId="20" w16cid:durableId="1053651041">
    <w:abstractNumId w:val="0"/>
  </w:num>
  <w:num w:numId="21" w16cid:durableId="952828400">
    <w:abstractNumId w:val="4"/>
  </w:num>
  <w:num w:numId="22" w16cid:durableId="1094865792">
    <w:abstractNumId w:val="23"/>
  </w:num>
  <w:num w:numId="23" w16cid:durableId="631403932">
    <w:abstractNumId w:val="9"/>
  </w:num>
  <w:num w:numId="24" w16cid:durableId="1960642179">
    <w:abstractNumId w:val="12"/>
  </w:num>
  <w:num w:numId="25" w16cid:durableId="477040847">
    <w:abstractNumId w:val="5"/>
  </w:num>
  <w:num w:numId="26" w16cid:durableId="1519923286">
    <w:abstractNumId w:val="16"/>
  </w:num>
  <w:num w:numId="27" w16cid:durableId="549534550">
    <w:abstractNumId w:val="13"/>
  </w:num>
  <w:num w:numId="28" w16cid:durableId="1190333079">
    <w:abstractNumId w:val="13"/>
  </w:num>
  <w:num w:numId="29" w16cid:durableId="268392968">
    <w:abstractNumId w:val="21"/>
  </w:num>
  <w:num w:numId="30" w16cid:durableId="1863014277">
    <w:abstractNumId w:val="13"/>
  </w:num>
  <w:num w:numId="31" w16cid:durableId="1690835355">
    <w:abstractNumId w:val="13"/>
  </w:num>
  <w:num w:numId="32" w16cid:durableId="2135050806">
    <w:abstractNumId w:val="2"/>
  </w:num>
  <w:num w:numId="33" w16cid:durableId="1896350081">
    <w:abstractNumId w:val="1"/>
    <w:lvlOverride w:ilvl="0">
      <w:lvl w:ilvl="0">
        <w:start w:val="1"/>
        <w:numFmt w:val="decimal"/>
        <w:pStyle w:val="Section"/>
        <w:lvlText w:val="%1."/>
        <w:lvlJc w:val="left"/>
        <w:pPr>
          <w:ind w:left="360" w:hanging="360"/>
        </w:pPr>
        <w:rPr>
          <w:rFonts w:hint="default"/>
        </w:rPr>
      </w:lvl>
    </w:lvlOverride>
    <w:lvlOverride w:ilvl="1">
      <w:lvl w:ilvl="1">
        <w:start w:val="1"/>
        <w:numFmt w:val="decimal"/>
        <w:isLgl/>
        <w:lvlText w:val="%1.%2"/>
        <w:lvlJc w:val="left"/>
        <w:pPr>
          <w:ind w:left="720" w:hanging="360"/>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34" w16cid:durableId="1865292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NzE3MTQzsjAyNTFW0lEKTi0uzszPAykwrAUAX4snciwAAAA="/>
  </w:docVars>
  <w:rsids>
    <w:rsidRoot w:val="005400AF"/>
    <w:rsid w:val="00032F0C"/>
    <w:rsid w:val="00045755"/>
    <w:rsid w:val="00045C76"/>
    <w:rsid w:val="00065448"/>
    <w:rsid w:val="0008499F"/>
    <w:rsid w:val="00092C47"/>
    <w:rsid w:val="000957BC"/>
    <w:rsid w:val="00101198"/>
    <w:rsid w:val="00114AB1"/>
    <w:rsid w:val="00153D6B"/>
    <w:rsid w:val="00156627"/>
    <w:rsid w:val="0017565C"/>
    <w:rsid w:val="001B1300"/>
    <w:rsid w:val="001D2ECD"/>
    <w:rsid w:val="002003D1"/>
    <w:rsid w:val="00205A2F"/>
    <w:rsid w:val="00243C62"/>
    <w:rsid w:val="00256014"/>
    <w:rsid w:val="00283C0F"/>
    <w:rsid w:val="00291D1F"/>
    <w:rsid w:val="002A2A67"/>
    <w:rsid w:val="002A5D81"/>
    <w:rsid w:val="002C1AC4"/>
    <w:rsid w:val="002C6F8F"/>
    <w:rsid w:val="002D7581"/>
    <w:rsid w:val="002F76C1"/>
    <w:rsid w:val="003067C8"/>
    <w:rsid w:val="00312212"/>
    <w:rsid w:val="00325842"/>
    <w:rsid w:val="0034191E"/>
    <w:rsid w:val="003613D0"/>
    <w:rsid w:val="00395E37"/>
    <w:rsid w:val="003A48F6"/>
    <w:rsid w:val="003C6C02"/>
    <w:rsid w:val="003E2D22"/>
    <w:rsid w:val="00402635"/>
    <w:rsid w:val="004070F6"/>
    <w:rsid w:val="0041237B"/>
    <w:rsid w:val="00426912"/>
    <w:rsid w:val="004374FA"/>
    <w:rsid w:val="00440F0E"/>
    <w:rsid w:val="0045074D"/>
    <w:rsid w:val="00465791"/>
    <w:rsid w:val="0047225D"/>
    <w:rsid w:val="00474822"/>
    <w:rsid w:val="00487CEB"/>
    <w:rsid w:val="00495DEF"/>
    <w:rsid w:val="004B5FE7"/>
    <w:rsid w:val="004B7826"/>
    <w:rsid w:val="004C16C3"/>
    <w:rsid w:val="004C19C3"/>
    <w:rsid w:val="004F5186"/>
    <w:rsid w:val="004F7A60"/>
    <w:rsid w:val="00510C64"/>
    <w:rsid w:val="005175D6"/>
    <w:rsid w:val="00517D2B"/>
    <w:rsid w:val="005214FF"/>
    <w:rsid w:val="00537E64"/>
    <w:rsid w:val="005400AF"/>
    <w:rsid w:val="0054051B"/>
    <w:rsid w:val="005420CA"/>
    <w:rsid w:val="005422ED"/>
    <w:rsid w:val="00555491"/>
    <w:rsid w:val="00563AD6"/>
    <w:rsid w:val="00584310"/>
    <w:rsid w:val="005A0FF4"/>
    <w:rsid w:val="005A78EC"/>
    <w:rsid w:val="005B45F7"/>
    <w:rsid w:val="005C1140"/>
    <w:rsid w:val="005C34BB"/>
    <w:rsid w:val="005C4205"/>
    <w:rsid w:val="005D4BF3"/>
    <w:rsid w:val="005E71A1"/>
    <w:rsid w:val="005E7AEF"/>
    <w:rsid w:val="005F15C2"/>
    <w:rsid w:val="005F7B8B"/>
    <w:rsid w:val="00605A8A"/>
    <w:rsid w:val="00606F36"/>
    <w:rsid w:val="006143F5"/>
    <w:rsid w:val="00621FB5"/>
    <w:rsid w:val="006650EA"/>
    <w:rsid w:val="006672C4"/>
    <w:rsid w:val="00667E74"/>
    <w:rsid w:val="00672CEF"/>
    <w:rsid w:val="0067593D"/>
    <w:rsid w:val="00685534"/>
    <w:rsid w:val="00686E60"/>
    <w:rsid w:val="00687FAB"/>
    <w:rsid w:val="0069759C"/>
    <w:rsid w:val="006A3888"/>
    <w:rsid w:val="006A6F47"/>
    <w:rsid w:val="006B285A"/>
    <w:rsid w:val="006F0BF9"/>
    <w:rsid w:val="00707116"/>
    <w:rsid w:val="00711136"/>
    <w:rsid w:val="00712A1F"/>
    <w:rsid w:val="007322A7"/>
    <w:rsid w:val="00737D86"/>
    <w:rsid w:val="00742B43"/>
    <w:rsid w:val="007468B2"/>
    <w:rsid w:val="007A09CD"/>
    <w:rsid w:val="007B2637"/>
    <w:rsid w:val="007C3640"/>
    <w:rsid w:val="007C7AB0"/>
    <w:rsid w:val="007D70AF"/>
    <w:rsid w:val="008015BD"/>
    <w:rsid w:val="00822158"/>
    <w:rsid w:val="008314D4"/>
    <w:rsid w:val="00833A40"/>
    <w:rsid w:val="00836583"/>
    <w:rsid w:val="00845723"/>
    <w:rsid w:val="0084615E"/>
    <w:rsid w:val="0084620C"/>
    <w:rsid w:val="00847C88"/>
    <w:rsid w:val="008622F7"/>
    <w:rsid w:val="00880A2D"/>
    <w:rsid w:val="00885A03"/>
    <w:rsid w:val="008977A6"/>
    <w:rsid w:val="008B5F70"/>
    <w:rsid w:val="008C145A"/>
    <w:rsid w:val="008C5FE0"/>
    <w:rsid w:val="008D14DE"/>
    <w:rsid w:val="008D4512"/>
    <w:rsid w:val="008D5B80"/>
    <w:rsid w:val="008F0942"/>
    <w:rsid w:val="008F1614"/>
    <w:rsid w:val="0090042D"/>
    <w:rsid w:val="00931BBE"/>
    <w:rsid w:val="00937626"/>
    <w:rsid w:val="009445FC"/>
    <w:rsid w:val="00947419"/>
    <w:rsid w:val="00956B45"/>
    <w:rsid w:val="00963C5E"/>
    <w:rsid w:val="00991370"/>
    <w:rsid w:val="0099151A"/>
    <w:rsid w:val="0099391A"/>
    <w:rsid w:val="009949A0"/>
    <w:rsid w:val="00995D37"/>
    <w:rsid w:val="009B7C8C"/>
    <w:rsid w:val="009D286D"/>
    <w:rsid w:val="009F6C35"/>
    <w:rsid w:val="00A13F37"/>
    <w:rsid w:val="00A21DA0"/>
    <w:rsid w:val="00A3170D"/>
    <w:rsid w:val="00A4407A"/>
    <w:rsid w:val="00A52552"/>
    <w:rsid w:val="00A5389A"/>
    <w:rsid w:val="00A57409"/>
    <w:rsid w:val="00A84115"/>
    <w:rsid w:val="00A8586F"/>
    <w:rsid w:val="00AA0490"/>
    <w:rsid w:val="00AB1C8B"/>
    <w:rsid w:val="00AC56C4"/>
    <w:rsid w:val="00AE23C4"/>
    <w:rsid w:val="00AE6991"/>
    <w:rsid w:val="00AF5461"/>
    <w:rsid w:val="00B00141"/>
    <w:rsid w:val="00B14B3E"/>
    <w:rsid w:val="00B44B48"/>
    <w:rsid w:val="00B52690"/>
    <w:rsid w:val="00B549A9"/>
    <w:rsid w:val="00B61705"/>
    <w:rsid w:val="00B6749B"/>
    <w:rsid w:val="00B75E90"/>
    <w:rsid w:val="00B80A59"/>
    <w:rsid w:val="00B82EB3"/>
    <w:rsid w:val="00B94F89"/>
    <w:rsid w:val="00BB39EC"/>
    <w:rsid w:val="00BD2F3F"/>
    <w:rsid w:val="00BF00BB"/>
    <w:rsid w:val="00C15E7A"/>
    <w:rsid w:val="00C211D6"/>
    <w:rsid w:val="00C24955"/>
    <w:rsid w:val="00C25749"/>
    <w:rsid w:val="00C3773F"/>
    <w:rsid w:val="00C72F90"/>
    <w:rsid w:val="00C90DC5"/>
    <w:rsid w:val="00C977FB"/>
    <w:rsid w:val="00CA2876"/>
    <w:rsid w:val="00CA32C3"/>
    <w:rsid w:val="00CA5DC2"/>
    <w:rsid w:val="00CB2CBB"/>
    <w:rsid w:val="00CB4DD7"/>
    <w:rsid w:val="00CE3E0A"/>
    <w:rsid w:val="00D14E6F"/>
    <w:rsid w:val="00D37469"/>
    <w:rsid w:val="00D4115F"/>
    <w:rsid w:val="00D52167"/>
    <w:rsid w:val="00D5671E"/>
    <w:rsid w:val="00D72969"/>
    <w:rsid w:val="00D73FBC"/>
    <w:rsid w:val="00D75992"/>
    <w:rsid w:val="00D832A4"/>
    <w:rsid w:val="00D86568"/>
    <w:rsid w:val="00DA42D5"/>
    <w:rsid w:val="00DC5060"/>
    <w:rsid w:val="00DD122C"/>
    <w:rsid w:val="00DD3462"/>
    <w:rsid w:val="00DE71C1"/>
    <w:rsid w:val="00DF407C"/>
    <w:rsid w:val="00DF6E64"/>
    <w:rsid w:val="00E04724"/>
    <w:rsid w:val="00E110D5"/>
    <w:rsid w:val="00E7189F"/>
    <w:rsid w:val="00E74477"/>
    <w:rsid w:val="00E84C08"/>
    <w:rsid w:val="00EB4524"/>
    <w:rsid w:val="00ED67B4"/>
    <w:rsid w:val="00EE5DD9"/>
    <w:rsid w:val="00EF3C1C"/>
    <w:rsid w:val="00F073DE"/>
    <w:rsid w:val="00F076A5"/>
    <w:rsid w:val="00F11D94"/>
    <w:rsid w:val="00F1635C"/>
    <w:rsid w:val="00F16AC1"/>
    <w:rsid w:val="00F175A4"/>
    <w:rsid w:val="00F33554"/>
    <w:rsid w:val="00F51B08"/>
    <w:rsid w:val="00F71B34"/>
    <w:rsid w:val="00F95A2C"/>
    <w:rsid w:val="00FA6A70"/>
    <w:rsid w:val="00FC0F8B"/>
    <w:rsid w:val="00FD2F04"/>
    <w:rsid w:val="00FD56AB"/>
    <w:rsid w:val="00FE57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F992C"/>
  <w15:docId w15:val="{317CF730-FBB1-4AEF-B73C-B62AE67C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37B"/>
    <w:pPr>
      <w:spacing w:line="276" w:lineRule="auto"/>
      <w:ind w:firstLine="360"/>
      <w:jc w:val="both"/>
    </w:pPr>
    <w:rPr>
      <w:rFonts w:ascii="Times New Roman" w:hAnsi="Times New Roman" w:cs="Times New Roman"/>
      <w:sz w:val="24"/>
      <w:szCs w:val="24"/>
    </w:rPr>
  </w:style>
  <w:style w:type="paragraph" w:styleId="Ttulo1">
    <w:name w:val="heading 1"/>
    <w:basedOn w:val="Authors"/>
    <w:next w:val="Normal"/>
    <w:link w:val="Ttulo1Car"/>
    <w:uiPriority w:val="9"/>
    <w:qFormat/>
    <w:rsid w:val="00092C47"/>
    <w:pPr>
      <w:outlineLvl w:val="0"/>
    </w:pPr>
    <w:rPr>
      <w:sz w:val="36"/>
      <w:lang w:val="es-ES"/>
    </w:rPr>
  </w:style>
  <w:style w:type="paragraph" w:styleId="Ttulo2">
    <w:name w:val="heading 2"/>
    <w:basedOn w:val="Normal"/>
    <w:link w:val="Ttulo2Car"/>
    <w:uiPriority w:val="9"/>
    <w:qFormat/>
    <w:rsid w:val="00CB2CBB"/>
    <w:pPr>
      <w:spacing w:before="100" w:beforeAutospacing="1" w:after="100" w:afterAutospacing="1" w:line="240" w:lineRule="auto"/>
      <w:outlineLvl w:val="1"/>
    </w:pPr>
    <w:rPr>
      <w:rFonts w:eastAsia="Times New Roman"/>
      <w:b/>
      <w:bCs/>
      <w:sz w:val="36"/>
      <w:szCs w:val="36"/>
      <w:lang w:eastAsia="es-ES"/>
    </w:rPr>
  </w:style>
  <w:style w:type="paragraph" w:styleId="Ttulo3">
    <w:name w:val="heading 3"/>
    <w:basedOn w:val="Normal"/>
    <w:next w:val="Normal"/>
    <w:link w:val="Ttulo3Car"/>
    <w:uiPriority w:val="9"/>
    <w:semiHidden/>
    <w:unhideWhenUsed/>
    <w:qFormat/>
    <w:rsid w:val="00F16AC1"/>
    <w:pPr>
      <w:keepNext/>
      <w:keepLines/>
      <w:spacing w:before="200" w:after="0"/>
      <w:outlineLvl w:val="2"/>
    </w:pPr>
    <w:rPr>
      <w:rFonts w:asciiTheme="majorHAnsi" w:eastAsiaTheme="majorEastAsia" w:hAnsiTheme="majorHAnsi" w:cstheme="maj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51B08"/>
    <w:rPr>
      <w:color w:val="808080"/>
    </w:rPr>
  </w:style>
  <w:style w:type="paragraph" w:styleId="Prrafodelista">
    <w:name w:val="List Paragraph"/>
    <w:basedOn w:val="Normal"/>
    <w:link w:val="PrrafodelistaCar"/>
    <w:uiPriority w:val="34"/>
    <w:qFormat/>
    <w:rsid w:val="00510C64"/>
    <w:pPr>
      <w:ind w:left="720"/>
      <w:contextualSpacing/>
    </w:pPr>
  </w:style>
  <w:style w:type="paragraph" w:styleId="Textodeglobo">
    <w:name w:val="Balloon Text"/>
    <w:basedOn w:val="Normal"/>
    <w:link w:val="TextodegloboCar"/>
    <w:uiPriority w:val="99"/>
    <w:semiHidden/>
    <w:unhideWhenUsed/>
    <w:rsid w:val="00B44B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4B48"/>
    <w:rPr>
      <w:rFonts w:ascii="Tahoma" w:hAnsi="Tahoma" w:cs="Tahoma"/>
      <w:sz w:val="16"/>
      <w:szCs w:val="16"/>
    </w:rPr>
  </w:style>
  <w:style w:type="character" w:customStyle="1" w:styleId="Ttulo3Car">
    <w:name w:val="Título 3 Car"/>
    <w:basedOn w:val="Fuentedeprrafopredeter"/>
    <w:link w:val="Ttulo3"/>
    <w:uiPriority w:val="9"/>
    <w:semiHidden/>
    <w:rsid w:val="00F16AC1"/>
    <w:rPr>
      <w:rFonts w:asciiTheme="majorHAnsi" w:eastAsiaTheme="majorEastAsia" w:hAnsiTheme="majorHAnsi" w:cstheme="majorBidi"/>
      <w:b/>
      <w:bCs/>
      <w:sz w:val="24"/>
      <w:szCs w:val="24"/>
    </w:rPr>
  </w:style>
  <w:style w:type="paragraph" w:styleId="Descripcin">
    <w:name w:val="caption"/>
    <w:basedOn w:val="Normal"/>
    <w:next w:val="Normal"/>
    <w:uiPriority w:val="35"/>
    <w:unhideWhenUsed/>
    <w:qFormat/>
    <w:rsid w:val="00FD56AB"/>
    <w:pPr>
      <w:spacing w:before="60" w:after="200" w:line="240" w:lineRule="auto"/>
      <w:ind w:firstLine="357"/>
      <w:jc w:val="center"/>
    </w:pPr>
    <w:rPr>
      <w:bCs/>
      <w:sz w:val="22"/>
      <w:szCs w:val="18"/>
    </w:rPr>
  </w:style>
  <w:style w:type="paragraph" w:customStyle="1" w:styleId="Centeredequation">
    <w:name w:val="Centered equation"/>
    <w:basedOn w:val="Normal"/>
    <w:link w:val="CenteredequationCar"/>
    <w:qFormat/>
    <w:rsid w:val="00833A40"/>
    <w:pPr>
      <w:spacing w:after="0"/>
    </w:pPr>
    <w:rPr>
      <w:rFonts w:ascii="Cambria Math" w:hAnsi="Cambria Math"/>
      <w:i/>
      <w:iCs/>
      <w:sz w:val="22"/>
      <w:szCs w:val="22"/>
    </w:rPr>
  </w:style>
  <w:style w:type="paragraph" w:customStyle="1" w:styleId="TableCaption">
    <w:name w:val="Table Caption"/>
    <w:basedOn w:val="Normal"/>
    <w:link w:val="TableCaptionCar"/>
    <w:qFormat/>
    <w:rsid w:val="00F175A4"/>
    <w:pPr>
      <w:spacing w:after="200" w:line="240" w:lineRule="auto"/>
      <w:jc w:val="center"/>
    </w:pPr>
    <w:rPr>
      <w:bCs/>
      <w:szCs w:val="18"/>
    </w:rPr>
  </w:style>
  <w:style w:type="character" w:customStyle="1" w:styleId="TableCaptionCar">
    <w:name w:val="Table Caption Car"/>
    <w:basedOn w:val="Fuentedeprrafopredeter"/>
    <w:link w:val="TableCaption"/>
    <w:rsid w:val="00F175A4"/>
    <w:rPr>
      <w:rFonts w:cs="Times New Roman"/>
      <w:bCs/>
      <w:sz w:val="24"/>
      <w:szCs w:val="18"/>
    </w:rPr>
  </w:style>
  <w:style w:type="character" w:customStyle="1" w:styleId="CenteredequationCar">
    <w:name w:val="Centered equation Car"/>
    <w:basedOn w:val="Fuentedeprrafopredeter"/>
    <w:link w:val="Centeredequation"/>
    <w:rsid w:val="00833A40"/>
    <w:rPr>
      <w:rFonts w:ascii="Cambria Math" w:hAnsi="Cambria Math" w:cs="Times New Roman"/>
      <w:i/>
      <w:iCs/>
    </w:rPr>
  </w:style>
  <w:style w:type="character" w:styleId="Refdenotaalfinal">
    <w:name w:val="endnote reference"/>
    <w:basedOn w:val="Fuentedeprrafopredeter"/>
    <w:uiPriority w:val="99"/>
    <w:semiHidden/>
    <w:unhideWhenUsed/>
    <w:rsid w:val="008977A6"/>
    <w:rPr>
      <w:vertAlign w:val="superscript"/>
    </w:rPr>
  </w:style>
  <w:style w:type="paragraph" w:customStyle="1" w:styleId="ReferencesSection">
    <w:name w:val="References_Section"/>
    <w:basedOn w:val="Normal"/>
    <w:autoRedefine/>
    <w:rsid w:val="0069759C"/>
    <w:pPr>
      <w:numPr>
        <w:numId w:val="3"/>
      </w:numPr>
      <w:spacing w:after="0"/>
      <w:ind w:left="426" w:hanging="426"/>
    </w:pPr>
    <w:rPr>
      <w:lang w:val="en-GB" w:eastAsia="es-ES"/>
    </w:rPr>
  </w:style>
  <w:style w:type="character" w:customStyle="1" w:styleId="Ttulo2Car">
    <w:name w:val="Título 2 Car"/>
    <w:basedOn w:val="Fuentedeprrafopredeter"/>
    <w:link w:val="Ttulo2"/>
    <w:uiPriority w:val="9"/>
    <w:rsid w:val="00CB2CBB"/>
    <w:rPr>
      <w:rFonts w:ascii="Times New Roman" w:eastAsia="Times New Roman" w:hAnsi="Times New Roman" w:cs="Times New Roman"/>
      <w:b/>
      <w:bCs/>
      <w:sz w:val="36"/>
      <w:szCs w:val="36"/>
      <w:lang w:eastAsia="es-ES"/>
    </w:rPr>
  </w:style>
  <w:style w:type="character" w:styleId="Textoennegrita">
    <w:name w:val="Strong"/>
    <w:basedOn w:val="Fuentedeprrafopredeter"/>
    <w:uiPriority w:val="22"/>
    <w:qFormat/>
    <w:rsid w:val="00CB2CBB"/>
    <w:rPr>
      <w:b/>
      <w:bCs/>
    </w:rPr>
  </w:style>
  <w:style w:type="paragraph" w:customStyle="1" w:styleId="Abstract">
    <w:name w:val="Abstract"/>
    <w:basedOn w:val="Normal"/>
    <w:rsid w:val="0041237B"/>
    <w:pPr>
      <w:spacing w:before="240" w:after="0" w:line="340" w:lineRule="atLeast"/>
      <w:ind w:left="510" w:right="510"/>
    </w:pPr>
    <w:rPr>
      <w:rFonts w:eastAsia="Times New Roman"/>
      <w:color w:val="000000"/>
      <w:szCs w:val="20"/>
      <w:lang w:val="en-US" w:eastAsia="de-DE"/>
    </w:rPr>
  </w:style>
  <w:style w:type="paragraph" w:customStyle="1" w:styleId="Address">
    <w:name w:val="Address"/>
    <w:basedOn w:val="Normal"/>
    <w:rsid w:val="0041237B"/>
    <w:pPr>
      <w:spacing w:before="240" w:after="0" w:line="340" w:lineRule="atLeast"/>
    </w:pPr>
    <w:rPr>
      <w:rFonts w:eastAsia="Times New Roman"/>
      <w:color w:val="000000"/>
      <w:szCs w:val="20"/>
      <w:lang w:val="en-US" w:eastAsia="de-DE"/>
    </w:rPr>
  </w:style>
  <w:style w:type="paragraph" w:customStyle="1" w:styleId="Authors">
    <w:name w:val="Authors"/>
    <w:basedOn w:val="Normal"/>
    <w:next w:val="Address"/>
    <w:autoRedefine/>
    <w:rsid w:val="0041237B"/>
    <w:pPr>
      <w:spacing w:before="240" w:after="240" w:line="340" w:lineRule="atLeast"/>
    </w:pPr>
    <w:rPr>
      <w:rFonts w:eastAsia="Times New Roman"/>
      <w:b/>
      <w:color w:val="000000"/>
      <w:szCs w:val="20"/>
      <w:lang w:val="it-IT" w:eastAsia="de-DE"/>
    </w:rPr>
  </w:style>
  <w:style w:type="paragraph" w:customStyle="1" w:styleId="Mline2">
    <w:name w:val="M_line2"/>
    <w:basedOn w:val="Normal"/>
    <w:next w:val="Section"/>
    <w:rsid w:val="0017565C"/>
    <w:pPr>
      <w:pBdr>
        <w:bottom w:val="single" w:sz="6" w:space="1" w:color="auto"/>
      </w:pBdr>
      <w:spacing w:after="480" w:line="340" w:lineRule="atLeast"/>
    </w:pPr>
    <w:rPr>
      <w:rFonts w:eastAsia="Times New Roman"/>
      <w:color w:val="000000"/>
      <w:szCs w:val="20"/>
      <w:lang w:val="en-US" w:eastAsia="de-DE"/>
    </w:rPr>
  </w:style>
  <w:style w:type="paragraph" w:customStyle="1" w:styleId="Mline1">
    <w:name w:val="M_line1"/>
    <w:basedOn w:val="Mline2"/>
    <w:next w:val="Abstract"/>
    <w:rsid w:val="0017565C"/>
    <w:pPr>
      <w:spacing w:after="0"/>
    </w:pPr>
  </w:style>
  <w:style w:type="character" w:customStyle="1" w:styleId="Ttulo1Car">
    <w:name w:val="Título 1 Car"/>
    <w:basedOn w:val="Fuentedeprrafopredeter"/>
    <w:link w:val="Ttulo1"/>
    <w:uiPriority w:val="9"/>
    <w:rsid w:val="00092C47"/>
    <w:rPr>
      <w:rFonts w:ascii="Times New Roman" w:eastAsia="Times New Roman" w:hAnsi="Times New Roman" w:cs="Times New Roman"/>
      <w:b/>
      <w:color w:val="000000"/>
      <w:sz w:val="36"/>
      <w:szCs w:val="20"/>
      <w:lang w:eastAsia="de-DE"/>
    </w:rPr>
  </w:style>
  <w:style w:type="paragraph" w:customStyle="1" w:styleId="Ttulo10">
    <w:name w:val="Título1"/>
    <w:basedOn w:val="Ttulo1"/>
    <w:next w:val="Authors"/>
    <w:link w:val="TitleCar"/>
    <w:qFormat/>
    <w:rsid w:val="0041237B"/>
    <w:pPr>
      <w:jc w:val="center"/>
    </w:pPr>
  </w:style>
  <w:style w:type="paragraph" w:customStyle="1" w:styleId="Section">
    <w:name w:val="Section"/>
    <w:basedOn w:val="Prrafodelista"/>
    <w:next w:val="Normal"/>
    <w:link w:val="SectionCar"/>
    <w:qFormat/>
    <w:rsid w:val="005F15C2"/>
    <w:pPr>
      <w:numPr>
        <w:numId w:val="4"/>
      </w:numPr>
    </w:pPr>
    <w:rPr>
      <w:b/>
    </w:rPr>
  </w:style>
  <w:style w:type="character" w:customStyle="1" w:styleId="TitleCar">
    <w:name w:val="Title Car"/>
    <w:basedOn w:val="Ttulo1Car"/>
    <w:link w:val="Ttulo10"/>
    <w:rsid w:val="0041237B"/>
    <w:rPr>
      <w:rFonts w:ascii="Times New Roman" w:eastAsia="Times New Roman" w:hAnsi="Times New Roman" w:cs="Times New Roman"/>
      <w:b/>
      <w:color w:val="000000"/>
      <w:sz w:val="36"/>
      <w:szCs w:val="20"/>
      <w:lang w:eastAsia="de-DE"/>
    </w:rPr>
  </w:style>
  <w:style w:type="table" w:styleId="Tablaconcuadrcula">
    <w:name w:val="Table Grid"/>
    <w:basedOn w:val="Tablanormal"/>
    <w:uiPriority w:val="39"/>
    <w:rsid w:val="00BD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34191E"/>
  </w:style>
  <w:style w:type="character" w:customStyle="1" w:styleId="SectionCar">
    <w:name w:val="Section Car"/>
    <w:basedOn w:val="PrrafodelistaCar"/>
    <w:link w:val="Section"/>
    <w:rsid w:val="005F15C2"/>
    <w:rPr>
      <w:rFonts w:cs="Times New Roman"/>
      <w:b/>
      <w:sz w:val="24"/>
      <w:szCs w:val="24"/>
    </w:rPr>
  </w:style>
  <w:style w:type="paragraph" w:customStyle="1" w:styleId="Equationnumber">
    <w:name w:val="Equation number"/>
    <w:basedOn w:val="Normal"/>
    <w:link w:val="EquationnumberCar"/>
    <w:qFormat/>
    <w:rsid w:val="00F175A4"/>
    <w:pPr>
      <w:spacing w:after="200" w:line="240" w:lineRule="auto"/>
      <w:jc w:val="right"/>
    </w:pPr>
    <w:rPr>
      <w:b/>
      <w:bCs/>
    </w:rPr>
  </w:style>
  <w:style w:type="paragraph" w:customStyle="1" w:styleId="Numberedlist">
    <w:name w:val="Numbered list"/>
    <w:basedOn w:val="Prrafodelista"/>
    <w:link w:val="NumberedlistCar"/>
    <w:qFormat/>
    <w:rsid w:val="00065448"/>
    <w:pPr>
      <w:numPr>
        <w:numId w:val="1"/>
      </w:numPr>
    </w:pPr>
  </w:style>
  <w:style w:type="character" w:customStyle="1" w:styleId="EquationnumberCar">
    <w:name w:val="Equation number Car"/>
    <w:basedOn w:val="Fuentedeprrafopredeter"/>
    <w:link w:val="Equationnumber"/>
    <w:rsid w:val="00F175A4"/>
    <w:rPr>
      <w:rFonts w:ascii="Times New Roman" w:hAnsi="Times New Roman" w:cs="Times New Roman"/>
      <w:b/>
      <w:bCs/>
      <w:sz w:val="24"/>
      <w:szCs w:val="24"/>
    </w:rPr>
  </w:style>
  <w:style w:type="paragraph" w:styleId="Encabezado">
    <w:name w:val="header"/>
    <w:basedOn w:val="Normal"/>
    <w:link w:val="EncabezadoCar"/>
    <w:uiPriority w:val="99"/>
    <w:unhideWhenUsed/>
    <w:rsid w:val="00667E74"/>
    <w:pPr>
      <w:tabs>
        <w:tab w:val="center" w:pos="4252"/>
        <w:tab w:val="right" w:pos="8504"/>
      </w:tabs>
      <w:spacing w:after="0" w:line="240" w:lineRule="auto"/>
    </w:pPr>
  </w:style>
  <w:style w:type="character" w:customStyle="1" w:styleId="NumberedlistCar">
    <w:name w:val="Numbered list Car"/>
    <w:basedOn w:val="PrrafodelistaCar"/>
    <w:link w:val="Numberedlist"/>
    <w:rsid w:val="00065448"/>
    <w:rPr>
      <w:rFonts w:cs="Times New Roman"/>
      <w:sz w:val="24"/>
      <w:szCs w:val="24"/>
    </w:rPr>
  </w:style>
  <w:style w:type="character" w:customStyle="1" w:styleId="EncabezadoCar">
    <w:name w:val="Encabezado Car"/>
    <w:basedOn w:val="Fuentedeprrafopredeter"/>
    <w:link w:val="Encabezado"/>
    <w:uiPriority w:val="99"/>
    <w:rsid w:val="00667E74"/>
  </w:style>
  <w:style w:type="paragraph" w:styleId="Piedepgina">
    <w:name w:val="footer"/>
    <w:basedOn w:val="Normal"/>
    <w:link w:val="PiedepginaCar"/>
    <w:uiPriority w:val="99"/>
    <w:unhideWhenUsed/>
    <w:rsid w:val="00667E7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7E74"/>
  </w:style>
  <w:style w:type="paragraph" w:customStyle="1" w:styleId="CenteredFigure">
    <w:name w:val="Centered Figure"/>
    <w:basedOn w:val="Normal"/>
    <w:link w:val="CenteredFigureCar"/>
    <w:qFormat/>
    <w:rsid w:val="0084620C"/>
    <w:pPr>
      <w:jc w:val="center"/>
    </w:pPr>
    <w:rPr>
      <w:noProof/>
      <w:lang w:eastAsia="es-ES"/>
    </w:rPr>
  </w:style>
  <w:style w:type="paragraph" w:customStyle="1" w:styleId="Reftitle">
    <w:name w:val="Ref title"/>
    <w:basedOn w:val="Normal"/>
    <w:link w:val="ReftitleCar"/>
    <w:qFormat/>
    <w:rsid w:val="0084620C"/>
    <w:rPr>
      <w:b/>
      <w:lang w:val="en-US"/>
    </w:rPr>
  </w:style>
  <w:style w:type="character" w:customStyle="1" w:styleId="CenteredFigureCar">
    <w:name w:val="Centered Figure Car"/>
    <w:basedOn w:val="Fuentedeprrafopredeter"/>
    <w:link w:val="CenteredFigure"/>
    <w:rsid w:val="0084620C"/>
    <w:rPr>
      <w:rFonts w:cs="Times New Roman"/>
      <w:noProof/>
      <w:sz w:val="24"/>
      <w:szCs w:val="24"/>
      <w:lang w:eastAsia="es-ES"/>
    </w:rPr>
  </w:style>
  <w:style w:type="paragraph" w:customStyle="1" w:styleId="Subsection">
    <w:name w:val="Subsection"/>
    <w:basedOn w:val="Prrafodelista"/>
    <w:link w:val="SubsectionCar"/>
    <w:qFormat/>
    <w:rsid w:val="00FD56AB"/>
    <w:pPr>
      <w:numPr>
        <w:ilvl w:val="1"/>
        <w:numId w:val="8"/>
      </w:numPr>
    </w:pPr>
    <w:rPr>
      <w:i/>
    </w:rPr>
  </w:style>
  <w:style w:type="character" w:customStyle="1" w:styleId="ReftitleCar">
    <w:name w:val="Ref title Car"/>
    <w:basedOn w:val="Fuentedeprrafopredeter"/>
    <w:link w:val="Reftitle"/>
    <w:rsid w:val="0084620C"/>
    <w:rPr>
      <w:rFonts w:cs="Times New Roman"/>
      <w:b/>
      <w:sz w:val="24"/>
      <w:szCs w:val="24"/>
      <w:lang w:val="en-US"/>
    </w:rPr>
  </w:style>
  <w:style w:type="character" w:customStyle="1" w:styleId="SubsectionCar">
    <w:name w:val="Subsection Car"/>
    <w:basedOn w:val="PrrafodelistaCar"/>
    <w:link w:val="Subsection"/>
    <w:rsid w:val="00FD56AB"/>
    <w:rPr>
      <w:rFonts w:ascii="Times New Roman" w:hAnsi="Times New Roman" w:cs="Times New Roman"/>
      <w:i/>
      <w:sz w:val="24"/>
      <w:szCs w:val="24"/>
    </w:rPr>
  </w:style>
  <w:style w:type="paragraph" w:customStyle="1" w:styleId="Tableformat">
    <w:name w:val="Table format"/>
    <w:basedOn w:val="Normal"/>
    <w:link w:val="TableformatCar"/>
    <w:qFormat/>
    <w:rsid w:val="00065448"/>
    <w:pPr>
      <w:ind w:firstLine="357"/>
    </w:pPr>
    <w:rPr>
      <w:sz w:val="22"/>
      <w:szCs w:val="22"/>
    </w:rPr>
  </w:style>
  <w:style w:type="character" w:styleId="Refdecomentario">
    <w:name w:val="annotation reference"/>
    <w:basedOn w:val="Fuentedeprrafopredeter"/>
    <w:uiPriority w:val="99"/>
    <w:semiHidden/>
    <w:unhideWhenUsed/>
    <w:rsid w:val="00065448"/>
    <w:rPr>
      <w:sz w:val="16"/>
      <w:szCs w:val="16"/>
    </w:rPr>
  </w:style>
  <w:style w:type="character" w:customStyle="1" w:styleId="TableformatCar">
    <w:name w:val="Table format Car"/>
    <w:basedOn w:val="Fuentedeprrafopredeter"/>
    <w:link w:val="Tableformat"/>
    <w:rsid w:val="00065448"/>
    <w:rPr>
      <w:rFonts w:cs="Times New Roman"/>
    </w:rPr>
  </w:style>
  <w:style w:type="paragraph" w:styleId="Textocomentario">
    <w:name w:val="annotation text"/>
    <w:basedOn w:val="Normal"/>
    <w:link w:val="TextocomentarioCar"/>
    <w:uiPriority w:val="99"/>
    <w:semiHidden/>
    <w:unhideWhenUsed/>
    <w:rsid w:val="000654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65448"/>
    <w:rPr>
      <w:rFonts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065448"/>
    <w:rPr>
      <w:b/>
      <w:bCs/>
    </w:rPr>
  </w:style>
  <w:style w:type="character" w:customStyle="1" w:styleId="AsuntodelcomentarioCar">
    <w:name w:val="Asunto del comentario Car"/>
    <w:basedOn w:val="TextocomentarioCar"/>
    <w:link w:val="Asuntodelcomentario"/>
    <w:uiPriority w:val="99"/>
    <w:semiHidden/>
    <w:rsid w:val="00065448"/>
    <w:rPr>
      <w:rFonts w:cs="Times New Roman"/>
      <w:b/>
      <w:bCs/>
      <w:sz w:val="20"/>
      <w:szCs w:val="20"/>
    </w:rPr>
  </w:style>
  <w:style w:type="paragraph" w:styleId="NormalWeb">
    <w:name w:val="Normal (Web)"/>
    <w:basedOn w:val="Normal"/>
    <w:uiPriority w:val="99"/>
    <w:semiHidden/>
    <w:unhideWhenUsed/>
    <w:rsid w:val="00426912"/>
  </w:style>
  <w:style w:type="character" w:styleId="Hipervnculo">
    <w:name w:val="Hyperlink"/>
    <w:basedOn w:val="Fuentedeprrafopredeter"/>
    <w:uiPriority w:val="99"/>
    <w:unhideWhenUsed/>
    <w:rsid w:val="00991370"/>
    <w:rPr>
      <w:color w:val="0563C1" w:themeColor="hyperlink"/>
      <w:u w:val="single"/>
    </w:rPr>
  </w:style>
  <w:style w:type="character" w:styleId="Mencinsinresolver">
    <w:name w:val="Unresolved Mention"/>
    <w:basedOn w:val="Fuentedeprrafopredeter"/>
    <w:uiPriority w:val="99"/>
    <w:semiHidden/>
    <w:unhideWhenUsed/>
    <w:rsid w:val="00991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344">
      <w:bodyDiv w:val="1"/>
      <w:marLeft w:val="0"/>
      <w:marRight w:val="0"/>
      <w:marTop w:val="0"/>
      <w:marBottom w:val="0"/>
      <w:divBdr>
        <w:top w:val="none" w:sz="0" w:space="0" w:color="auto"/>
        <w:left w:val="none" w:sz="0" w:space="0" w:color="auto"/>
        <w:bottom w:val="none" w:sz="0" w:space="0" w:color="auto"/>
        <w:right w:val="none" w:sz="0" w:space="0" w:color="auto"/>
      </w:divBdr>
    </w:div>
    <w:div w:id="72165489">
      <w:bodyDiv w:val="1"/>
      <w:marLeft w:val="0"/>
      <w:marRight w:val="0"/>
      <w:marTop w:val="0"/>
      <w:marBottom w:val="0"/>
      <w:divBdr>
        <w:top w:val="none" w:sz="0" w:space="0" w:color="auto"/>
        <w:left w:val="none" w:sz="0" w:space="0" w:color="auto"/>
        <w:bottom w:val="none" w:sz="0" w:space="0" w:color="auto"/>
        <w:right w:val="none" w:sz="0" w:space="0" w:color="auto"/>
      </w:divBdr>
    </w:div>
    <w:div w:id="350108991">
      <w:bodyDiv w:val="1"/>
      <w:marLeft w:val="0"/>
      <w:marRight w:val="0"/>
      <w:marTop w:val="0"/>
      <w:marBottom w:val="0"/>
      <w:divBdr>
        <w:top w:val="none" w:sz="0" w:space="0" w:color="auto"/>
        <w:left w:val="none" w:sz="0" w:space="0" w:color="auto"/>
        <w:bottom w:val="none" w:sz="0" w:space="0" w:color="auto"/>
        <w:right w:val="none" w:sz="0" w:space="0" w:color="auto"/>
      </w:divBdr>
      <w:divsChild>
        <w:div w:id="1866670910">
          <w:marLeft w:val="0"/>
          <w:marRight w:val="0"/>
          <w:marTop w:val="0"/>
          <w:marBottom w:val="0"/>
          <w:divBdr>
            <w:top w:val="none" w:sz="0" w:space="0" w:color="auto"/>
            <w:left w:val="none" w:sz="0" w:space="0" w:color="auto"/>
            <w:bottom w:val="none" w:sz="0" w:space="0" w:color="auto"/>
            <w:right w:val="none" w:sz="0" w:space="0" w:color="auto"/>
          </w:divBdr>
        </w:div>
      </w:divsChild>
    </w:div>
    <w:div w:id="429206537">
      <w:bodyDiv w:val="1"/>
      <w:marLeft w:val="0"/>
      <w:marRight w:val="0"/>
      <w:marTop w:val="0"/>
      <w:marBottom w:val="0"/>
      <w:divBdr>
        <w:top w:val="none" w:sz="0" w:space="0" w:color="auto"/>
        <w:left w:val="none" w:sz="0" w:space="0" w:color="auto"/>
        <w:bottom w:val="none" w:sz="0" w:space="0" w:color="auto"/>
        <w:right w:val="none" w:sz="0" w:space="0" w:color="auto"/>
      </w:divBdr>
      <w:divsChild>
        <w:div w:id="1744251334">
          <w:marLeft w:val="0"/>
          <w:marRight w:val="0"/>
          <w:marTop w:val="0"/>
          <w:marBottom w:val="0"/>
          <w:divBdr>
            <w:top w:val="none" w:sz="0" w:space="0" w:color="auto"/>
            <w:left w:val="none" w:sz="0" w:space="0" w:color="auto"/>
            <w:bottom w:val="none" w:sz="0" w:space="0" w:color="auto"/>
            <w:right w:val="none" w:sz="0" w:space="0" w:color="auto"/>
          </w:divBdr>
        </w:div>
      </w:divsChild>
    </w:div>
    <w:div w:id="585578477">
      <w:bodyDiv w:val="1"/>
      <w:marLeft w:val="0"/>
      <w:marRight w:val="0"/>
      <w:marTop w:val="0"/>
      <w:marBottom w:val="0"/>
      <w:divBdr>
        <w:top w:val="none" w:sz="0" w:space="0" w:color="auto"/>
        <w:left w:val="none" w:sz="0" w:space="0" w:color="auto"/>
        <w:bottom w:val="none" w:sz="0" w:space="0" w:color="auto"/>
        <w:right w:val="none" w:sz="0" w:space="0" w:color="auto"/>
      </w:divBdr>
    </w:div>
    <w:div w:id="1691758845">
      <w:bodyDiv w:val="1"/>
      <w:marLeft w:val="0"/>
      <w:marRight w:val="0"/>
      <w:marTop w:val="0"/>
      <w:marBottom w:val="0"/>
      <w:divBdr>
        <w:top w:val="none" w:sz="0" w:space="0" w:color="auto"/>
        <w:left w:val="none" w:sz="0" w:space="0" w:color="auto"/>
        <w:bottom w:val="none" w:sz="0" w:space="0" w:color="auto"/>
        <w:right w:val="none" w:sz="0" w:space="0" w:color="auto"/>
      </w:divBdr>
      <w:divsChild>
        <w:div w:id="872890299">
          <w:marLeft w:val="0"/>
          <w:marRight w:val="0"/>
          <w:marTop w:val="0"/>
          <w:marBottom w:val="0"/>
          <w:divBdr>
            <w:top w:val="none" w:sz="0" w:space="0" w:color="auto"/>
            <w:left w:val="none" w:sz="0" w:space="0" w:color="auto"/>
            <w:bottom w:val="none" w:sz="0" w:space="0" w:color="auto"/>
            <w:right w:val="none" w:sz="0" w:space="0" w:color="auto"/>
          </w:divBdr>
          <w:divsChild>
            <w:div w:id="393702122">
              <w:marLeft w:val="0"/>
              <w:marRight w:val="0"/>
              <w:marTop w:val="0"/>
              <w:marBottom w:val="0"/>
              <w:divBdr>
                <w:top w:val="none" w:sz="0" w:space="0" w:color="auto"/>
                <w:left w:val="none" w:sz="0" w:space="0" w:color="auto"/>
                <w:bottom w:val="none" w:sz="0" w:space="0" w:color="auto"/>
                <w:right w:val="none" w:sz="0" w:space="0" w:color="auto"/>
              </w:divBdr>
            </w:div>
            <w:div w:id="723797461">
              <w:marLeft w:val="0"/>
              <w:marRight w:val="0"/>
              <w:marTop w:val="0"/>
              <w:marBottom w:val="0"/>
              <w:divBdr>
                <w:top w:val="none" w:sz="0" w:space="0" w:color="auto"/>
                <w:left w:val="none" w:sz="0" w:space="0" w:color="auto"/>
                <w:bottom w:val="none" w:sz="0" w:space="0" w:color="auto"/>
                <w:right w:val="none" w:sz="0" w:space="0" w:color="auto"/>
              </w:divBdr>
            </w:div>
          </w:divsChild>
        </w:div>
        <w:div w:id="2001808843">
          <w:marLeft w:val="0"/>
          <w:marRight w:val="0"/>
          <w:marTop w:val="0"/>
          <w:marBottom w:val="0"/>
          <w:divBdr>
            <w:top w:val="none" w:sz="0" w:space="0" w:color="auto"/>
            <w:left w:val="none" w:sz="0" w:space="0" w:color="auto"/>
            <w:bottom w:val="none" w:sz="0" w:space="0" w:color="auto"/>
            <w:right w:val="none" w:sz="0" w:space="0" w:color="auto"/>
          </w:divBdr>
          <w:divsChild>
            <w:div w:id="1419709684">
              <w:marLeft w:val="0"/>
              <w:marRight w:val="0"/>
              <w:marTop w:val="0"/>
              <w:marBottom w:val="0"/>
              <w:divBdr>
                <w:top w:val="none" w:sz="0" w:space="0" w:color="auto"/>
                <w:left w:val="none" w:sz="0" w:space="0" w:color="auto"/>
                <w:bottom w:val="none" w:sz="0" w:space="0" w:color="auto"/>
                <w:right w:val="none" w:sz="0" w:space="0" w:color="auto"/>
              </w:divBdr>
              <w:divsChild>
                <w:div w:id="2023974875">
                  <w:marLeft w:val="0"/>
                  <w:marRight w:val="0"/>
                  <w:marTop w:val="0"/>
                  <w:marBottom w:val="0"/>
                  <w:divBdr>
                    <w:top w:val="none" w:sz="0" w:space="0" w:color="auto"/>
                    <w:left w:val="none" w:sz="0" w:space="0" w:color="auto"/>
                    <w:bottom w:val="none" w:sz="0" w:space="0" w:color="auto"/>
                    <w:right w:val="none" w:sz="0" w:space="0" w:color="auto"/>
                  </w:divBdr>
                  <w:divsChild>
                    <w:div w:id="1934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1319">
      <w:bodyDiv w:val="1"/>
      <w:marLeft w:val="0"/>
      <w:marRight w:val="0"/>
      <w:marTop w:val="0"/>
      <w:marBottom w:val="0"/>
      <w:divBdr>
        <w:top w:val="none" w:sz="0" w:space="0" w:color="auto"/>
        <w:left w:val="none" w:sz="0" w:space="0" w:color="auto"/>
        <w:bottom w:val="none" w:sz="0" w:space="0" w:color="auto"/>
        <w:right w:val="none" w:sz="0" w:space="0" w:color="auto"/>
      </w:divBdr>
      <w:divsChild>
        <w:div w:id="341207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ieee.org" TargetMode="External"/><Relationship Id="rId2" Type="http://schemas.openxmlformats.org/officeDocument/2006/relationships/customXml" Target="../customXml/item2.xml"/><Relationship Id="rId16" Type="http://schemas.openxmlformats.org/officeDocument/2006/relationships/hyperlink" Target="https://learn.microsof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b:Source xmlns:b="http://schemas.openxmlformats.org/officeDocument/2006/bibliography" xmlns="http://schemas.openxmlformats.org/officeDocument/2006/bibliography">
    <b:Tag>MarcadorDePosición1</b:Tag>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D5F0BF0CAFE22408947237DDDFCB0B9" ma:contentTypeVersion="2" ma:contentTypeDescription="Crear nuevo documento." ma:contentTypeScope="" ma:versionID="231d0ecf5e51b8b4130938ddc7466111">
  <xsd:schema xmlns:xsd="http://www.w3.org/2001/XMLSchema" xmlns:xs="http://www.w3.org/2001/XMLSchema" xmlns:p="http://schemas.microsoft.com/office/2006/metadata/properties" xmlns:ns1="http://schemas.microsoft.com/sharepoint/v3" targetNamespace="http://schemas.microsoft.com/office/2006/metadata/properties" ma:root="true" ma:fieldsID="5081e6ca3dd88758eeb7d82f82783ea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internalName="PublishingStartDate">
      <xsd:simpleType>
        <xsd:restriction base="dms:Unknown"/>
      </xsd:simpleType>
    </xsd:element>
    <xsd:element name="PublishingExpirationDate" ma:index="9" nillable="true" ma:displayName="Fecha de finalización programad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109A9-4C51-4A38-AB01-F7C26F015AD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8ADD88E-A16C-474A-BF89-000FF6A6FA11}">
  <ds:schemaRefs>
    <ds:schemaRef ds:uri="http://schemas.openxmlformats.org/officeDocument/2006/bibliography"/>
  </ds:schemaRefs>
</ds:datastoreItem>
</file>

<file path=customXml/itemProps3.xml><?xml version="1.0" encoding="utf-8"?>
<ds:datastoreItem xmlns:ds="http://schemas.openxmlformats.org/officeDocument/2006/customXml" ds:itemID="{3B07ABA6-A314-479C-8273-66B3A3F6903B}">
  <ds:schemaRefs>
    <ds:schemaRef ds:uri="http://schemas.microsoft.com/sharepoint/v3/contenttype/forms"/>
  </ds:schemaRefs>
</ds:datastoreItem>
</file>

<file path=customXml/itemProps4.xml><?xml version="1.0" encoding="utf-8"?>
<ds:datastoreItem xmlns:ds="http://schemas.openxmlformats.org/officeDocument/2006/customXml" ds:itemID="{7B4D07A7-34C3-4F5C-8EB4-2A6BE3A73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7</Pages>
  <Words>2652</Words>
  <Characters>16334</Characters>
  <Application>Microsoft Office Word</Application>
  <DocSecurity>0</DocSecurity>
  <Lines>244</Lines>
  <Paragraphs>73</Paragraphs>
  <ScaleCrop>false</ScaleCrop>
  <HeadingPairs>
    <vt:vector size="2" baseType="variant">
      <vt:variant>
        <vt:lpstr>Título</vt:lpstr>
      </vt:variant>
      <vt:variant>
        <vt:i4>1</vt:i4>
      </vt:variant>
    </vt:vector>
  </HeadingPairs>
  <TitlesOfParts>
    <vt:vector size="1" baseType="lpstr">
      <vt:lpstr>[Escriba aquí el título del trabajo]</vt:lpstr>
    </vt:vector>
  </TitlesOfParts>
  <Company/>
  <LinksUpToDate>false</LinksUpToDate>
  <CharactersWithSpaces>18928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[Escriba aquí el título del trabajo]</dc:title>
  <dc:subject/>
  <dc:creator>SERGIO enjuto gomez</dc:creator>
  <cp:keywords/>
  <cp:lastModifiedBy>SERGIO enjuto gomez</cp:lastModifiedBy>
  <cp:revision>18</cp:revision>
  <dcterms:created xsi:type="dcterms:W3CDTF">2026-01-17T11:33:00Z</dcterms:created>
  <dcterms:modified xsi:type="dcterms:W3CDTF">2026-01-17T19:15:00Z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id="AqnDUoRc"/&gt;&lt;style id="http://www.zotero.org/styles/vancouver" locale="en-US" hasBibliography="1" bibliographyStyleHasBeenSet="1"/&gt;&lt;prefs&gt;&lt;pref name="fieldType" value="Field"/&gt;&lt;pref name="storeRef</vt:lpwstr>
  </property>
  <property fmtid="{D5CDD505-2E9C-101B-9397-08002B2CF9AE}" pid="3" name="ZOTERO_PREF_2">
    <vt:lpwstr>erences" value="true"/&gt;&lt;pref name="automaticJournalAbbreviations" value=""/&gt;&lt;pref name="noteType" value=""/&gt;&lt;/prefs&gt;&lt;/data&gt;</vt:lpwstr>
  </property>
  <property fmtid="{D5CDD505-2E9C-101B-9397-08002B2CF9AE}" pid="4" name="ContentTypeId">
    <vt:lpwstr>0x010100BD5F0BF0CAFE22408947237DDDFCB0B9</vt:lpwstr>
  </property>
</Properties>
</file>