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6514A9" w14:textId="77777777" w:rsidR="008617D1" w:rsidRDefault="008617D1" w:rsidP="0084620C">
      <w:pPr>
        <w:pStyle w:val="Ttulo10"/>
      </w:pPr>
      <w:r>
        <w:t>Estrategia y Diseño de una Nube de Combate</w:t>
      </w:r>
    </w:p>
    <w:p w14:paraId="007878C0" w14:textId="6C86C5F4" w:rsidR="0017565C" w:rsidRPr="0041237B" w:rsidRDefault="008617D1" w:rsidP="0084620C">
      <w:pPr>
        <w:pStyle w:val="Ttulo10"/>
      </w:pPr>
      <w:r>
        <w:t>para las Fuerzas Terrestres</w:t>
      </w:r>
    </w:p>
    <w:p w14:paraId="28BD0B88" w14:textId="3B472D0B" w:rsidR="0084615E" w:rsidRDefault="0084615E" w:rsidP="0084620C">
      <w:pPr>
        <w:pStyle w:val="Authors"/>
      </w:pPr>
      <w:r>
        <w:t xml:space="preserve">Autor: </w:t>
      </w:r>
      <w:r w:rsidR="004F400A">
        <w:t>Pérez Alonso</w:t>
      </w:r>
      <w:r w:rsidR="0034191E" w:rsidRPr="0041237B">
        <w:t xml:space="preserve">, </w:t>
      </w:r>
      <w:r w:rsidR="004F400A">
        <w:t>Ernesto</w:t>
      </w:r>
    </w:p>
    <w:p w14:paraId="77703992" w14:textId="07B1E423" w:rsidR="0017565C" w:rsidRPr="0084615E" w:rsidRDefault="0084615E" w:rsidP="0084615E">
      <w:pPr>
        <w:pStyle w:val="Authors"/>
      </w:pPr>
      <w:r>
        <w:t xml:space="preserve">Director/es: </w:t>
      </w:r>
      <w:r w:rsidR="004F400A">
        <w:t>Fernández García</w:t>
      </w:r>
      <w:r w:rsidR="005B45F7" w:rsidRPr="0041237B">
        <w:t>, N</w:t>
      </w:r>
      <w:r w:rsidR="004F400A">
        <w:t xml:space="preserve">orberto </w:t>
      </w:r>
      <w:r w:rsidR="0034191E" w:rsidRPr="0041237B">
        <w:t>y</w:t>
      </w:r>
      <w:r w:rsidR="0017565C" w:rsidRPr="0041237B">
        <w:t xml:space="preserve"> </w:t>
      </w:r>
      <w:r w:rsidR="0034191E" w:rsidRPr="0041237B">
        <w:t>A</w:t>
      </w:r>
      <w:r w:rsidR="004F400A">
        <w:t>res Tarr</w:t>
      </w:r>
      <w:r w:rsidR="00386E80">
        <w:t>í</w:t>
      </w:r>
      <w:r w:rsidR="004F400A">
        <w:t>o, Miguel</w:t>
      </w:r>
      <w:r w:rsidR="009B7C8C" w:rsidRPr="0041237B">
        <w:rPr>
          <w:szCs w:val="24"/>
        </w:rPr>
        <w:t>.</w:t>
      </w:r>
    </w:p>
    <w:p w14:paraId="275D813A" w14:textId="77777777" w:rsidR="00833A40" w:rsidRPr="0041237B" w:rsidRDefault="00833A40" w:rsidP="00833A40">
      <w:pPr>
        <w:pStyle w:val="Address"/>
        <w:jc w:val="left"/>
        <w:rPr>
          <w:lang w:val="es-ES"/>
        </w:rPr>
        <w:sectPr w:rsidR="00833A40" w:rsidRPr="0041237B" w:rsidSect="005C34BB">
          <w:headerReference w:type="even" r:id="rId11"/>
          <w:headerReference w:type="default" r:id="rId12"/>
          <w:footerReference w:type="default" r:id="rId13"/>
          <w:pgSz w:w="11906" w:h="16838"/>
          <w:pgMar w:top="3119" w:right="1077" w:bottom="1021" w:left="1077" w:header="709" w:footer="709" w:gutter="0"/>
          <w:cols w:space="708"/>
          <w:titlePg/>
          <w:docGrid w:linePitch="360"/>
        </w:sectPr>
      </w:pPr>
    </w:p>
    <w:p w14:paraId="49334E95" w14:textId="652884B7" w:rsidR="003C6C02" w:rsidRPr="003C6C02" w:rsidRDefault="003C6C02" w:rsidP="003C6C02">
      <w:pPr>
        <w:pStyle w:val="Mline1"/>
        <w:pBdr>
          <w:bottom w:val="single" w:sz="6" w:space="9" w:color="auto"/>
        </w:pBdr>
        <w:rPr>
          <w:lang w:val="es-ES"/>
        </w:rPr>
      </w:pPr>
      <w:r>
        <w:rPr>
          <w:lang w:val="es-ES"/>
        </w:rPr>
        <w:t xml:space="preserve">Contacto: </w:t>
      </w:r>
      <w:r w:rsidR="00DB7A45">
        <w:rPr>
          <w:lang w:val="es-ES"/>
        </w:rPr>
        <w:t>e</w:t>
      </w:r>
      <w:r w:rsidR="004F400A">
        <w:rPr>
          <w:lang w:val="es-ES"/>
        </w:rPr>
        <w:t>rnesto.peralo@gmail.com</w:t>
      </w:r>
    </w:p>
    <w:p w14:paraId="144469D8" w14:textId="77777777" w:rsidR="004F400A" w:rsidRDefault="00E04724" w:rsidP="004F400A">
      <w:pPr>
        <w:pStyle w:val="Abstract"/>
        <w:ind w:left="426" w:firstLine="0"/>
        <w:rPr>
          <w:lang w:val="es-ES"/>
        </w:rPr>
      </w:pPr>
      <w:r>
        <w:rPr>
          <w:b/>
          <w:lang w:val="es-ES"/>
        </w:rPr>
        <w:t>Resumen</w:t>
      </w:r>
      <w:r w:rsidR="0017565C" w:rsidRPr="0041237B">
        <w:rPr>
          <w:b/>
          <w:lang w:val="es-ES"/>
        </w:rPr>
        <w:t>:</w:t>
      </w:r>
      <w:r w:rsidR="00F71B34" w:rsidRPr="0041237B">
        <w:rPr>
          <w:lang w:val="es-ES"/>
        </w:rPr>
        <w:t xml:space="preserve"> </w:t>
      </w:r>
    </w:p>
    <w:p w14:paraId="192CA260" w14:textId="77777777" w:rsidR="0078663B" w:rsidRDefault="0078663B" w:rsidP="004F400A">
      <w:pPr>
        <w:pStyle w:val="Abstract"/>
        <w:ind w:left="426" w:firstLine="0"/>
        <w:rPr>
          <w:lang w:val="es-ES"/>
        </w:rPr>
      </w:pPr>
      <w:r w:rsidRPr="0078663B">
        <w:rPr>
          <w:lang w:val="es-ES"/>
        </w:rPr>
        <w:t>En la actualidad, la tecnología y su aplicación son cada vez más determinantes para el éxito en la resolución de los conflictos. En el ámbito terrestre, las Fuerzas necesitan disponer de unos Sistemas de Mando y Control avanzados para poder llevar a cabo sus actividades de preparación y para el cumplimiento de sus misiones en operaciones.</w:t>
      </w:r>
    </w:p>
    <w:p w14:paraId="01C7D277" w14:textId="1035C092" w:rsidR="0078663B" w:rsidRDefault="0078663B" w:rsidP="004F400A">
      <w:pPr>
        <w:pStyle w:val="Abstract"/>
        <w:ind w:left="426" w:firstLine="0"/>
        <w:rPr>
          <w:lang w:val="es-ES"/>
        </w:rPr>
      </w:pPr>
      <w:r w:rsidRPr="0078663B">
        <w:rPr>
          <w:lang w:val="es-ES"/>
        </w:rPr>
        <w:t xml:space="preserve">Los avances tecnológicos en el ámbito TIC, como soporte de los sistemas de Mando y Control, pueden posibilitar el dominio en la gestión de la información y las comunicaciones, respondiendo a necesidades y ofreciendo oportunidades que pueden ser determinantes para las Fuerzas Terrestres. En este sentido, muchas naciones disponen o están avanzando hacia las “Nubes de Combate”, como infraestructura tecnológica o sistema, que permite la interconexión de los elementos relevantes de una Fuerza (sensores, plataformas, </w:t>
      </w:r>
      <w:r w:rsidR="00386E80">
        <w:rPr>
          <w:lang w:val="es-ES"/>
        </w:rPr>
        <w:t>p</w:t>
      </w:r>
      <w:r w:rsidRPr="0078663B">
        <w:rPr>
          <w:lang w:val="es-ES"/>
        </w:rPr>
        <w:t xml:space="preserve">uestos de </w:t>
      </w:r>
      <w:r w:rsidR="00386E80">
        <w:rPr>
          <w:lang w:val="es-ES"/>
        </w:rPr>
        <w:t>m</w:t>
      </w:r>
      <w:r w:rsidRPr="0078663B">
        <w:rPr>
          <w:lang w:val="es-ES"/>
        </w:rPr>
        <w:t>ando, etc.), posibilitando entre ellos, la obtención, gestión, intercambio y tratamiento de la información.</w:t>
      </w:r>
    </w:p>
    <w:p w14:paraId="16EF41A6" w14:textId="1364A36C" w:rsidR="0078663B" w:rsidRDefault="0078663B" w:rsidP="00D72969">
      <w:pPr>
        <w:pStyle w:val="Abstract"/>
        <w:ind w:left="426" w:firstLine="0"/>
        <w:rPr>
          <w:lang w:val="es-ES"/>
        </w:rPr>
      </w:pPr>
      <w:r w:rsidRPr="0078663B">
        <w:rPr>
          <w:lang w:val="es-ES"/>
        </w:rPr>
        <w:t xml:space="preserve">A lo largo de este trabajo se estudia sobre la estrategia y diseño de una Nube de Combate para las Fuerzas Terrestres. En primer lugar, se realiza un análisis del estado del arte sobre las principales tecnologías que pudieran ser de aplicación </w:t>
      </w:r>
      <w:r w:rsidR="00386E80">
        <w:rPr>
          <w:lang w:val="es-ES"/>
        </w:rPr>
        <w:t xml:space="preserve">en </w:t>
      </w:r>
      <w:r w:rsidRPr="0078663B">
        <w:rPr>
          <w:lang w:val="es-ES"/>
        </w:rPr>
        <w:t xml:space="preserve">el ámbito de las telecomunicaciones y de los sistemas de información, así como de las propias tecnologías de nube. A continuación, se realiza un análisis desde la perspectiva de las buenas prácticas para gestión de servicios </w:t>
      </w:r>
      <w:r w:rsidR="00386E80">
        <w:rPr>
          <w:lang w:val="es-ES"/>
        </w:rPr>
        <w:t xml:space="preserve">(ITIL) </w:t>
      </w:r>
      <w:r w:rsidRPr="0078663B">
        <w:rPr>
          <w:lang w:val="es-ES"/>
        </w:rPr>
        <w:t xml:space="preserve">y </w:t>
      </w:r>
      <w:r w:rsidR="00386E80">
        <w:rPr>
          <w:lang w:val="es-ES"/>
        </w:rPr>
        <w:t xml:space="preserve">de </w:t>
      </w:r>
      <w:r w:rsidRPr="0078663B">
        <w:rPr>
          <w:lang w:val="es-ES"/>
        </w:rPr>
        <w:t>proyectos TIC, para conformar propuestas de estrategia y diseño. Finalmente, se exponen una serie de recomendaciones que pudieran ser de interés para desarrollar con éxito una Nube de Combate para las Fuerzas Terrestres.</w:t>
      </w:r>
    </w:p>
    <w:p w14:paraId="3DC758C6" w14:textId="4B92C3EB" w:rsidR="0017565C" w:rsidRPr="00D72969" w:rsidRDefault="00E04724" w:rsidP="00D72969">
      <w:pPr>
        <w:pStyle w:val="Abstract"/>
        <w:ind w:left="426" w:firstLine="0"/>
        <w:rPr>
          <w:lang w:val="es-ES"/>
        </w:rPr>
      </w:pPr>
      <w:r w:rsidRPr="00D72969">
        <w:rPr>
          <w:b/>
          <w:lang w:val="es-ES"/>
        </w:rPr>
        <w:t>Palabras clave</w:t>
      </w:r>
      <w:r w:rsidR="0017565C" w:rsidRPr="00D72969">
        <w:rPr>
          <w:b/>
          <w:lang w:val="es-ES"/>
        </w:rPr>
        <w:t>:</w:t>
      </w:r>
      <w:r w:rsidR="00995D37" w:rsidRPr="00D72969">
        <w:rPr>
          <w:lang w:val="es-ES"/>
        </w:rPr>
        <w:t xml:space="preserve"> </w:t>
      </w:r>
      <w:r w:rsidR="004F400A" w:rsidRPr="004F400A">
        <w:rPr>
          <w:lang w:val="es-ES"/>
        </w:rPr>
        <w:t xml:space="preserve">Nube, táctica, </w:t>
      </w:r>
      <w:r w:rsidR="006D1DC8">
        <w:rPr>
          <w:lang w:val="es-ES"/>
        </w:rPr>
        <w:t>F</w:t>
      </w:r>
      <w:r w:rsidR="004F400A" w:rsidRPr="004F400A">
        <w:rPr>
          <w:lang w:val="es-ES"/>
        </w:rPr>
        <w:t>uerza, terrestre.</w:t>
      </w:r>
    </w:p>
    <w:p w14:paraId="23A5669E" w14:textId="77777777" w:rsidR="0017565C" w:rsidRPr="00D72969" w:rsidRDefault="0017565C" w:rsidP="0084620C">
      <w:pPr>
        <w:pStyle w:val="Mline2"/>
        <w:rPr>
          <w:lang w:val="es-ES"/>
        </w:rPr>
      </w:pPr>
    </w:p>
    <w:p w14:paraId="1B5E8834" w14:textId="77777777" w:rsidR="00156627" w:rsidRPr="0041237B" w:rsidRDefault="00A4407A" w:rsidP="0084620C">
      <w:pPr>
        <w:pStyle w:val="Section"/>
      </w:pPr>
      <w:r w:rsidRPr="0041237B">
        <w:lastRenderedPageBreak/>
        <w:t>Introducción</w:t>
      </w:r>
    </w:p>
    <w:p w14:paraId="27982A09" w14:textId="441D4277" w:rsidR="004F400A" w:rsidRDefault="004F400A" w:rsidP="008C145A">
      <w:r w:rsidRPr="004F400A">
        <w:t xml:space="preserve">La realidad de nuestros días demuestra cómo la tecnología y su aplicación son cada vez más determinantes para la resolución de los conflictos </w:t>
      </w:r>
      <w:r>
        <w:t>con</w:t>
      </w:r>
      <w:r w:rsidRPr="004F400A">
        <w:t xml:space="preserve"> éxito</w:t>
      </w:r>
      <w:r>
        <w:t xml:space="preserve">. </w:t>
      </w:r>
      <w:r w:rsidR="00EC6B44">
        <w:t xml:space="preserve">En el ámbito terrestre, las Fuerzas necesitan de unas capacidades para ejercer sus funciones de Mando y Control, tanto en actividades de preparación, como en operaciones. Las Tecnologías de la Información y las Comunicaciones </w:t>
      </w:r>
      <w:r w:rsidR="00386E80">
        <w:t xml:space="preserve">(TIC) </w:t>
      </w:r>
      <w:r w:rsidR="00EC6B44">
        <w:t>y, particularmente, las tecnologías de nube pueden facilitar mucho esas capacidades.</w:t>
      </w:r>
    </w:p>
    <w:p w14:paraId="04B9C548" w14:textId="1B8A3EDC" w:rsidR="00EC6B44" w:rsidRDefault="00EC6B44" w:rsidP="008C145A">
      <w:r>
        <w:t xml:space="preserve">En los últimos años, muchas naciones están desarrollando </w:t>
      </w:r>
      <w:r w:rsidR="00DB7A45">
        <w:t>«</w:t>
      </w:r>
      <w:r>
        <w:t>Nubes de Combate</w:t>
      </w:r>
      <w:r w:rsidR="00DB7A45">
        <w:t>»</w:t>
      </w:r>
      <w:r>
        <w:t xml:space="preserve">, cuya definición, a título propio, responde a </w:t>
      </w:r>
      <w:r w:rsidRPr="00EC6B44">
        <w:t>«un sistema integral que posibilita la interconexión de elementos en el campo de batalla para la obtención, transmisión, tratamiento, proceso e intercambio de la información y la integración de los datos de interés obtenidos desde los diferentes elementos interconectados (sensores, plataformas o unidades) para facilitar el conocimiento de la situación, la decisión y la difusión de órdenes para la producción de efectos, todo ello, en beneficio de una Fuerza militar</w:t>
      </w:r>
      <w:r>
        <w:t>».</w:t>
      </w:r>
    </w:p>
    <w:p w14:paraId="44BF0BA2" w14:textId="734E9A15" w:rsidR="00EC6B44" w:rsidRDefault="00EC6B44" w:rsidP="008C145A">
      <w:r w:rsidRPr="00EC6B44">
        <w:t xml:space="preserve">Ante esta situación, y para el caso de las </w:t>
      </w:r>
      <w:r w:rsidR="00DB7A45">
        <w:t>Fuerzas Terrestres (</w:t>
      </w:r>
      <w:r w:rsidRPr="00EC6B44">
        <w:t>FTs</w:t>
      </w:r>
      <w:r w:rsidR="00DB7A45">
        <w:t>)</w:t>
      </w:r>
      <w:r w:rsidRPr="00EC6B44">
        <w:t>, el reto es ser capaces de desarrollar, a través de una estrategia y del diseño de las soluciones, las capacidades TIC y su integración para que aporten valor a su rendimiento y eficacia.</w:t>
      </w:r>
    </w:p>
    <w:p w14:paraId="03654E4C" w14:textId="3794C7D0" w:rsidR="0099391A" w:rsidRPr="0041237B" w:rsidRDefault="00EC6B44" w:rsidP="0084620C">
      <w:pPr>
        <w:pStyle w:val="Section"/>
      </w:pPr>
      <w:r>
        <w:t>Estado del Arte.</w:t>
      </w:r>
    </w:p>
    <w:p w14:paraId="695F6D86" w14:textId="0D74FC61" w:rsidR="008617D1" w:rsidRDefault="008617D1" w:rsidP="008617D1">
      <w:r>
        <w:t xml:space="preserve">La mayoría de las naciones avanzadas, disponen o están desarrollando </w:t>
      </w:r>
      <w:r w:rsidR="00DB7A45">
        <w:t>«</w:t>
      </w:r>
      <w:r w:rsidR="00386E80">
        <w:t>N</w:t>
      </w:r>
      <w:r>
        <w:t xml:space="preserve">ubes de </w:t>
      </w:r>
      <w:r w:rsidR="00386E80">
        <w:t>C</w:t>
      </w:r>
      <w:r>
        <w:t>ombate</w:t>
      </w:r>
      <w:r w:rsidR="00DB7A45">
        <w:t>»</w:t>
      </w:r>
      <w:r>
        <w:t>, para beneficiarse de las oportunidades que ofrecen las TIC y mejorar el rendimiento de sus Fuerzas en Operaciones. En este sentido, cabe destacar que el ejército estadounidense dispone de una estrategia «</w:t>
      </w:r>
      <w:r w:rsidRPr="008617D1">
        <w:rPr>
          <w:i/>
          <w:iCs/>
        </w:rPr>
        <w:t xml:space="preserve">Joint </w:t>
      </w:r>
      <w:proofErr w:type="spellStart"/>
      <w:r w:rsidRPr="008617D1">
        <w:rPr>
          <w:i/>
          <w:iCs/>
        </w:rPr>
        <w:t>All</w:t>
      </w:r>
      <w:proofErr w:type="spellEnd"/>
      <w:r w:rsidRPr="008617D1">
        <w:rPr>
          <w:i/>
          <w:iCs/>
        </w:rPr>
        <w:t xml:space="preserve"> Domain C2</w:t>
      </w:r>
      <w:r>
        <w:t xml:space="preserve">» </w:t>
      </w:r>
      <w:r w:rsidR="004C1A13">
        <w:t xml:space="preserve">[1] </w:t>
      </w:r>
      <w:r>
        <w:t xml:space="preserve">así como de documentos de planeamiento en el Army </w:t>
      </w:r>
      <w:r w:rsidR="004C1A13">
        <w:t xml:space="preserve">[2][3] </w:t>
      </w:r>
      <w:r>
        <w:t>para avanzar en estos trabajos.</w:t>
      </w:r>
    </w:p>
    <w:p w14:paraId="3FB920B0" w14:textId="517A0BF4" w:rsidR="008617D1" w:rsidRDefault="008617D1" w:rsidP="008617D1">
      <w:r>
        <w:t>En España, el Ministerio de Defensa dispone de una estrategia para la implantación de la nube [</w:t>
      </w:r>
      <w:r w:rsidR="004C1A13">
        <w:t>4</w:t>
      </w:r>
      <w:r>
        <w:t xml:space="preserve">] en la que se expone la Nube de Combate como ejemplo de aplicación de estas tecnologías en los entornos operativos, señalándose que «permite la distribución de datos y el intercambio de información dentro de un “espacio de batalla”, donde cada usuario, plataforma o nodo autorizado contribuye y recibe información y puede explotarla en el transcurso de las operaciones militares». Esta estrategia, incluye un ideograma que </w:t>
      </w:r>
      <w:r w:rsidR="00386E80">
        <w:t>muestra</w:t>
      </w:r>
      <w:r>
        <w:t xml:space="preserve"> diferentes Nubes de Combate que se refleja en la figura 1.</w:t>
      </w:r>
    </w:p>
    <w:p w14:paraId="3C27E4CB" w14:textId="652E859F" w:rsidR="008617D1" w:rsidRDefault="008617D1" w:rsidP="00F47A8B">
      <w:pPr>
        <w:jc w:val="center"/>
      </w:pPr>
      <w:r w:rsidRPr="00F74094">
        <w:rPr>
          <w:noProof/>
        </w:rPr>
        <w:drawing>
          <wp:inline distT="0" distB="0" distL="0" distR="0" wp14:anchorId="44C906C5" wp14:editId="7A9D80D7">
            <wp:extent cx="4983480" cy="2756711"/>
            <wp:effectExtent l="0" t="0" r="7620" b="5715"/>
            <wp:docPr id="1726523550" name="Imagen 1" descr="Diagra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489342" name="Imagen 1" descr="Diagrama&#10;&#10;El contenido generado por IA puede ser incorrecto."/>
                    <pic:cNvPicPr/>
                  </pic:nvPicPr>
                  <pic:blipFill>
                    <a:blip r:embed="rId14"/>
                    <a:stretch>
                      <a:fillRect/>
                    </a:stretch>
                  </pic:blipFill>
                  <pic:spPr>
                    <a:xfrm>
                      <a:off x="0" y="0"/>
                      <a:ext cx="5001991" cy="2766951"/>
                    </a:xfrm>
                    <a:prstGeom prst="rect">
                      <a:avLst/>
                    </a:prstGeom>
                  </pic:spPr>
                </pic:pic>
              </a:graphicData>
            </a:graphic>
          </wp:inline>
        </w:drawing>
      </w:r>
    </w:p>
    <w:p w14:paraId="7ECF5F79" w14:textId="5CBCA400" w:rsidR="008617D1" w:rsidRPr="00FD56AB" w:rsidRDefault="008617D1" w:rsidP="008617D1">
      <w:pPr>
        <w:pStyle w:val="Descripcin"/>
      </w:pPr>
      <w:r w:rsidRPr="00D72969">
        <w:rPr>
          <w:b/>
        </w:rPr>
        <w:t xml:space="preserve">Figura </w:t>
      </w:r>
      <w:r w:rsidRPr="00D72969">
        <w:rPr>
          <w:b/>
        </w:rPr>
        <w:fldChar w:fldCharType="begin"/>
      </w:r>
      <w:r w:rsidRPr="00D72969">
        <w:rPr>
          <w:b/>
        </w:rPr>
        <w:instrText xml:space="preserve"> SEQ Figura \* ARABIC </w:instrText>
      </w:r>
      <w:r w:rsidRPr="00D72969">
        <w:rPr>
          <w:b/>
        </w:rPr>
        <w:fldChar w:fldCharType="separate"/>
      </w:r>
      <w:r w:rsidRPr="00D72969">
        <w:rPr>
          <w:b/>
        </w:rPr>
        <w:t>1</w:t>
      </w:r>
      <w:r w:rsidRPr="00D72969">
        <w:rPr>
          <w:b/>
        </w:rPr>
        <w:fldChar w:fldCharType="end"/>
      </w:r>
      <w:r w:rsidRPr="00FD56AB">
        <w:t xml:space="preserve">. </w:t>
      </w:r>
      <w:r w:rsidRPr="008617D1">
        <w:t>Ideograma de la evolución de la I3D al concepto de nube</w:t>
      </w:r>
      <w:r>
        <w:t xml:space="preserve"> [</w:t>
      </w:r>
      <w:r w:rsidR="004C1A13">
        <w:t>4</w:t>
      </w:r>
      <w:r>
        <w:t>]</w:t>
      </w:r>
      <w:r w:rsidRPr="00FD56AB">
        <w:t>.</w:t>
      </w:r>
    </w:p>
    <w:p w14:paraId="18515E00" w14:textId="20449D6B" w:rsidR="008617D1" w:rsidRDefault="008617D1" w:rsidP="00F47A8B">
      <w:r>
        <w:lastRenderedPageBreak/>
        <w:t xml:space="preserve"> </w:t>
      </w:r>
    </w:p>
    <w:p w14:paraId="0F56A04B" w14:textId="3CAA3927" w:rsidR="00EC6B44" w:rsidRPr="0041237B" w:rsidRDefault="00EC6B44" w:rsidP="00EC6B44">
      <w:pPr>
        <w:pStyle w:val="Subsection"/>
        <w:numPr>
          <w:ilvl w:val="0"/>
          <w:numId w:val="0"/>
        </w:numPr>
        <w:ind w:left="360"/>
      </w:pPr>
      <w:r>
        <w:t>2.1. Tecnologías de interés para el desarrollo de una Nube de Combate.</w:t>
      </w:r>
    </w:p>
    <w:p w14:paraId="6F6A33DF" w14:textId="04CF6D21" w:rsidR="00F47A8B" w:rsidRDefault="00F47A8B" w:rsidP="00F47A8B">
      <w:r>
        <w:t>Se pueden agrupar en los siguientes grupos:</w:t>
      </w:r>
    </w:p>
    <w:p w14:paraId="64F15359" w14:textId="5999F99C" w:rsidR="00F47A8B" w:rsidRDefault="00F47A8B" w:rsidP="00F47A8B">
      <w:pPr>
        <w:pStyle w:val="Prrafodelista"/>
        <w:numPr>
          <w:ilvl w:val="0"/>
          <w:numId w:val="16"/>
        </w:numPr>
      </w:pPr>
      <w:r>
        <w:t xml:space="preserve">Tecnologías de nube, o de </w:t>
      </w:r>
      <w:proofErr w:type="spellStart"/>
      <w:r w:rsidRPr="00DB7A45">
        <w:rPr>
          <w:i/>
          <w:iCs/>
        </w:rPr>
        <w:t>cloud</w:t>
      </w:r>
      <w:proofErr w:type="spellEnd"/>
      <w:r w:rsidRPr="00DB7A45">
        <w:rPr>
          <w:i/>
          <w:iCs/>
        </w:rPr>
        <w:t xml:space="preserve"> </w:t>
      </w:r>
      <w:proofErr w:type="spellStart"/>
      <w:r w:rsidRPr="00DB7A45">
        <w:rPr>
          <w:i/>
          <w:iCs/>
        </w:rPr>
        <w:t>computing</w:t>
      </w:r>
      <w:proofErr w:type="spellEnd"/>
      <w:r>
        <w:t>. Su aplicación para las FTs permitiría establecer la denominada «Nube de Combate para las Fuerzas Terrestres»</w:t>
      </w:r>
      <w:r w:rsidR="00CB0B78">
        <w:t xml:space="preserve"> o simplemente, Nube de Combate Terrestre (NCT)</w:t>
      </w:r>
      <w:r>
        <w:t xml:space="preserve">. Estas soluciones de Nube de Combate pueden permitir ofrecer sus servicios desde el nivel combatiente o plataforma terrestre, hasta los </w:t>
      </w:r>
      <w:r w:rsidR="00DB7A45">
        <w:t>Centros de Proceso de Datos (</w:t>
      </w:r>
      <w:r>
        <w:t>CPDs</w:t>
      </w:r>
      <w:r w:rsidR="00DB7A45">
        <w:t>)</w:t>
      </w:r>
      <w:r>
        <w:t xml:space="preserve"> desplegables</w:t>
      </w:r>
      <w:r w:rsidR="00B75E4C">
        <w:t>,</w:t>
      </w:r>
      <w:r>
        <w:t xml:space="preserve"> o los más sofisticados y permanentes que disfrutarían de mayor estabilidad.</w:t>
      </w:r>
    </w:p>
    <w:p w14:paraId="51674FDE" w14:textId="4CA325E4" w:rsidR="00CB0B78" w:rsidRDefault="00F47A8B" w:rsidP="00F47A8B">
      <w:pPr>
        <w:pStyle w:val="Prrafodelista"/>
        <w:numPr>
          <w:ilvl w:val="0"/>
          <w:numId w:val="16"/>
        </w:numPr>
      </w:pPr>
      <w:r>
        <w:t xml:space="preserve">Tecnologías de </w:t>
      </w:r>
      <w:r w:rsidR="00CB0B78">
        <w:t>Comunicaciones. Han tenido un importante desarrollo en los últimos años y son fundamentales para permitir el intercambio de información entre los elementos que formen parte de la nube. En la actualidad y, por su posible aplicación, destacan la fibra óptica, los radioenlaces, los radioteléfonos, los satélites de comunicaciones (</w:t>
      </w:r>
      <w:r w:rsidR="00386E80">
        <w:t xml:space="preserve">en órbitas bajas, medias o geoestacionarias identificadas como </w:t>
      </w:r>
      <w:r w:rsidR="00CB0B78">
        <w:t>LEO, MEO y GEO</w:t>
      </w:r>
      <w:r w:rsidR="00386E80">
        <w:t xml:space="preserve"> respectivamente</w:t>
      </w:r>
      <w:r w:rsidR="00CB0B78">
        <w:t>), además de otras tecnologías inalámbricas y en desarrollo como el 5G</w:t>
      </w:r>
      <w:r w:rsidR="00F935C5">
        <w:t>, para la que el MINISDEF ha elaborado una estrategia [5]</w:t>
      </w:r>
      <w:r w:rsidR="00CB0B78">
        <w:t>.</w:t>
      </w:r>
    </w:p>
    <w:p w14:paraId="0D90A596" w14:textId="77777777" w:rsidR="00CB0B78" w:rsidRDefault="00CB0B78" w:rsidP="00CB0B78">
      <w:pPr>
        <w:pStyle w:val="Prrafodelista"/>
        <w:numPr>
          <w:ilvl w:val="0"/>
          <w:numId w:val="16"/>
        </w:numPr>
      </w:pPr>
      <w:r>
        <w:t xml:space="preserve">Tecnologías de Sistemas de Información. Entre otras, se han destacado por su posible aplicación y prestaciones las tecnologías de integración de </w:t>
      </w:r>
      <w:r w:rsidRPr="00C9755F">
        <w:rPr>
          <w:i/>
          <w:iCs/>
        </w:rPr>
        <w:t>software</w:t>
      </w:r>
      <w:r>
        <w:t xml:space="preserve">, la Inteligencia Artificial (IA), los sistemas de réplica y supervivencia de la información y las redes definidas por </w:t>
      </w:r>
      <w:r w:rsidRPr="00C9755F">
        <w:rPr>
          <w:i/>
          <w:iCs/>
        </w:rPr>
        <w:t>software</w:t>
      </w:r>
      <w:r>
        <w:t>.</w:t>
      </w:r>
    </w:p>
    <w:p w14:paraId="73724BC4" w14:textId="72B1ACC6" w:rsidR="00CB0B78" w:rsidRPr="0041237B" w:rsidRDefault="00CB0B78" w:rsidP="00CB0B78">
      <w:pPr>
        <w:pStyle w:val="Subsection"/>
        <w:numPr>
          <w:ilvl w:val="0"/>
          <w:numId w:val="0"/>
        </w:numPr>
        <w:ind w:left="360"/>
      </w:pPr>
      <w:r>
        <w:t>2.2. Marco Normativo.</w:t>
      </w:r>
    </w:p>
    <w:p w14:paraId="419104CF" w14:textId="5A535F3D" w:rsidR="00CB0B78" w:rsidRDefault="00CB0B78" w:rsidP="00CB0B78">
      <w:r>
        <w:t xml:space="preserve">Para realizar una propuesta relacionada con la estrategia y diseño de una NCT, es preciso analizar el marco normativo de la organización en la que vaya a desarrollarse, especialmente en lo relativo a estructura organizativa y responsabilidades, normalización y arquitecturas técnicas. </w:t>
      </w:r>
      <w:r w:rsidR="00386E80">
        <w:t>Este marco normativo lo componen diferentes documentos, entre los que destacan las órdenes ministeriales</w:t>
      </w:r>
      <w:r w:rsidR="00C9755F">
        <w:t xml:space="preserve"> correspondientes. </w:t>
      </w:r>
      <w:r>
        <w:t>En este documento se realiza de manera genérica.</w:t>
      </w:r>
    </w:p>
    <w:p w14:paraId="084A9253" w14:textId="73177164" w:rsidR="00642EDF" w:rsidRDefault="00642EDF" w:rsidP="00642EDF">
      <w:pPr>
        <w:pStyle w:val="Section"/>
      </w:pPr>
      <w:r>
        <w:t>Desarrollo del TFM.</w:t>
      </w:r>
    </w:p>
    <w:p w14:paraId="3E121E99" w14:textId="488FB12E" w:rsidR="00642EDF" w:rsidRPr="0041237B" w:rsidRDefault="00642EDF" w:rsidP="00642EDF">
      <w:pPr>
        <w:pStyle w:val="Subsection"/>
        <w:numPr>
          <w:ilvl w:val="0"/>
          <w:numId w:val="0"/>
        </w:numPr>
        <w:ind w:left="360"/>
      </w:pPr>
      <w:r>
        <w:t>3.1. Análisis de la gestión de servicios y conclusiones derivadas.</w:t>
      </w:r>
    </w:p>
    <w:p w14:paraId="351692FF" w14:textId="2AA00F0D" w:rsidR="00642EDF" w:rsidRDefault="00642EDF" w:rsidP="00CB0B78">
      <w:pPr>
        <w:ind w:left="360" w:firstLine="0"/>
      </w:pPr>
      <w:r>
        <w:t>Entre los aspectos de interés relacionados con la gestión de servicios, destacan los siguiente:</w:t>
      </w:r>
    </w:p>
    <w:p w14:paraId="4AFAD90B" w14:textId="4144A66E" w:rsidR="00642EDF" w:rsidRDefault="00642EDF" w:rsidP="008A3ED3">
      <w:pPr>
        <w:pStyle w:val="Prrafodelista"/>
        <w:numPr>
          <w:ilvl w:val="0"/>
          <w:numId w:val="18"/>
        </w:numPr>
      </w:pPr>
      <w:r>
        <w:t>El análisis de perspectiva, posición, planes y patrones</w:t>
      </w:r>
      <w:r w:rsidR="00C9755F">
        <w:t xml:space="preserve"> conforme a lo establecido en las Bibliotecas de Infraestructura de Tecnologías de la Información en su tercera versión (ITILv3),</w:t>
      </w:r>
      <w:r>
        <w:t xml:space="preserve"> facilita el desarrollo de la estrategia del servicio. La estrategia debe estar orientada a incorporar las últimas tecnologías siguiendo unos patrones que permitan materializar el seguimiento tecnológico y la evolución de arquitecturas. Siendo deseable utilizar casos piloto para asegurar una implantación con éxito en la posterior extensión al resto.</w:t>
      </w:r>
    </w:p>
    <w:p w14:paraId="07BE6772" w14:textId="7250A783" w:rsidR="00642EDF" w:rsidRDefault="00642EDF" w:rsidP="008A3ED3">
      <w:pPr>
        <w:pStyle w:val="Prrafodelista"/>
        <w:numPr>
          <w:ilvl w:val="0"/>
          <w:numId w:val="18"/>
        </w:numPr>
      </w:pPr>
      <w:r>
        <w:t>La g</w:t>
      </w:r>
      <w:r w:rsidRPr="00642EDF">
        <w:t xml:space="preserve">estión </w:t>
      </w:r>
      <w:r>
        <w:t xml:space="preserve">y el acuerdo </w:t>
      </w:r>
      <w:r w:rsidRPr="00642EDF">
        <w:t xml:space="preserve">del portafolio de servicios </w:t>
      </w:r>
      <w:r>
        <w:t xml:space="preserve">con el cliente y las relaciones con él son </w:t>
      </w:r>
      <w:r w:rsidRPr="00642EDF">
        <w:t>clave</w:t>
      </w:r>
      <w:r>
        <w:t>s</w:t>
      </w:r>
      <w:r w:rsidRPr="00642EDF">
        <w:t xml:space="preserve"> para articular la aportación del proveedor de servicios.</w:t>
      </w:r>
    </w:p>
    <w:p w14:paraId="7FF4F890" w14:textId="64B83094" w:rsidR="00642EDF" w:rsidRDefault="00642EDF" w:rsidP="00642EDF">
      <w:pPr>
        <w:pStyle w:val="Prrafodelista"/>
        <w:numPr>
          <w:ilvl w:val="0"/>
          <w:numId w:val="18"/>
        </w:numPr>
      </w:pPr>
      <w:r>
        <w:t>La estrategia debe incorporar la gestión financiera para asegurar su disponibilidad para diseñar, desarrollar y prestar los servicios, asegurando un equilibrio entre el suministro y la demanda de servicios por parte del cliente.</w:t>
      </w:r>
    </w:p>
    <w:p w14:paraId="73F0A1F2" w14:textId="6EA52B2D" w:rsidR="00642EDF" w:rsidRDefault="00642EDF" w:rsidP="00642EDF">
      <w:pPr>
        <w:pStyle w:val="Prrafodelista"/>
        <w:numPr>
          <w:ilvl w:val="0"/>
          <w:numId w:val="18"/>
        </w:numPr>
      </w:pPr>
      <w:r>
        <w:lastRenderedPageBreak/>
        <w:t xml:space="preserve">La gestión de la demanda debe anticipar e influir sobre la demanda de servicios del cliente. Deberá ejercerse de manera activa ya que, en la actualidad, la oferta de servicios de </w:t>
      </w:r>
      <w:r w:rsidR="00EB65E5">
        <w:t>TIC</w:t>
      </w:r>
      <w:r>
        <w:t xml:space="preserve"> en nuestra vida diaria puede ir por delante de la que </w:t>
      </w:r>
      <w:r w:rsidR="00EB65E5">
        <w:t xml:space="preserve">se pueda </w:t>
      </w:r>
      <w:r>
        <w:t>ofrecer</w:t>
      </w:r>
      <w:r w:rsidR="00EB65E5">
        <w:t xml:space="preserve"> en el ámbito militar</w:t>
      </w:r>
      <w:r>
        <w:t>.</w:t>
      </w:r>
    </w:p>
    <w:p w14:paraId="1AE2E1C0" w14:textId="0DDCD50A" w:rsidR="00642EDF" w:rsidRDefault="00EB65E5" w:rsidP="00642EDF">
      <w:pPr>
        <w:pStyle w:val="Prrafodelista"/>
        <w:numPr>
          <w:ilvl w:val="0"/>
          <w:numId w:val="18"/>
        </w:numPr>
      </w:pPr>
      <w:r>
        <w:t>La aplicación de los principios de las</w:t>
      </w:r>
      <w:r w:rsidR="00642EDF">
        <w:t xml:space="preserve"> librerías ITIL 4</w:t>
      </w:r>
      <w:r>
        <w:t xml:space="preserve"> [</w:t>
      </w:r>
      <w:r w:rsidR="00F935C5">
        <w:t>6</w:t>
      </w:r>
      <w:r>
        <w:t>] es importante como eje estratégico, así como la aplicación del sistema de valor.</w:t>
      </w:r>
      <w:r w:rsidR="00642EDF">
        <w:t xml:space="preserve"> De este modo, la estrategia y diseño de la NCT se deberá considerar empezar desde la situación actual, haciendo progresos evolutivos, por iteraciones con retroalimentación, con colaboración con las unidades apoyadas, optimizando y automatizando en lo que sea posible, y adoptando soluciones sencillas, que ayuden a percibir el valor.</w:t>
      </w:r>
    </w:p>
    <w:p w14:paraId="36720AD2" w14:textId="77777777" w:rsidR="00EB65E5" w:rsidRDefault="00EB65E5" w:rsidP="00EB65E5">
      <w:pPr>
        <w:pStyle w:val="Subsection"/>
        <w:numPr>
          <w:ilvl w:val="0"/>
          <w:numId w:val="0"/>
        </w:numPr>
        <w:ind w:left="360"/>
      </w:pPr>
    </w:p>
    <w:p w14:paraId="79627F69" w14:textId="4261E8B1" w:rsidR="00EB65E5" w:rsidRPr="0041237B" w:rsidRDefault="00EB65E5" w:rsidP="00EB65E5">
      <w:pPr>
        <w:pStyle w:val="Subsection"/>
        <w:numPr>
          <w:ilvl w:val="0"/>
          <w:numId w:val="0"/>
        </w:numPr>
        <w:ind w:left="360"/>
      </w:pPr>
      <w:r>
        <w:t>3.2. Análisis de la gestión de proyectos.</w:t>
      </w:r>
    </w:p>
    <w:p w14:paraId="5447A4C6" w14:textId="77777777" w:rsidR="00EB65E5" w:rsidRDefault="00EB65E5" w:rsidP="0084620C">
      <w:r w:rsidRPr="00EB65E5">
        <w:t xml:space="preserve">Del análisis de gestión de proyectos, se concluye la conveniencia de adoptar la Nube de Combate como un proyecto predictivo en cuanto a hoja de ruta, mientras que los desarrollos más técnicos, de diseño y de configuración deben responder a metodologías </w:t>
      </w:r>
      <w:r w:rsidRPr="00C9755F">
        <w:rPr>
          <w:i/>
          <w:iCs/>
        </w:rPr>
        <w:t>agile</w:t>
      </w:r>
      <w:r w:rsidRPr="00EB65E5">
        <w:t xml:space="preserve"> o </w:t>
      </w:r>
      <w:r w:rsidRPr="00C9755F">
        <w:rPr>
          <w:i/>
          <w:iCs/>
        </w:rPr>
        <w:t>scrum</w:t>
      </w:r>
      <w:r w:rsidRPr="00EB65E5">
        <w:t>. Además, deberá realizarse una gestión activa de riesgos, donde puede esperarse tanto oportunidades no previstas a las que habrá que dar cabida, así como riesgos a gestionar que pueden aparecer a lo largo del proyecto.</w:t>
      </w:r>
    </w:p>
    <w:p w14:paraId="1B893755" w14:textId="77777777" w:rsidR="00EB65E5" w:rsidRDefault="00EB65E5" w:rsidP="0084620C"/>
    <w:p w14:paraId="2809429B" w14:textId="6E242C0B" w:rsidR="00EB65E5" w:rsidRPr="0041237B" w:rsidRDefault="00EB65E5" w:rsidP="00EB65E5">
      <w:pPr>
        <w:pStyle w:val="Subsection"/>
        <w:numPr>
          <w:ilvl w:val="0"/>
          <w:numId w:val="0"/>
        </w:numPr>
        <w:ind w:left="360"/>
      </w:pPr>
      <w:r>
        <w:t>3.3. Estrategia de la propuesta.</w:t>
      </w:r>
    </w:p>
    <w:p w14:paraId="5C2BE66C" w14:textId="6C895557" w:rsidR="00EB65E5" w:rsidRDefault="00EB65E5" w:rsidP="00EB65E5">
      <w:r>
        <w:t>Se destacan los siguientes aspectos</w:t>
      </w:r>
      <w:r w:rsidR="00437214">
        <w:t xml:space="preserve"> resultantes del análisis realizado</w:t>
      </w:r>
      <w:r>
        <w:t>:</w:t>
      </w:r>
    </w:p>
    <w:p w14:paraId="5D05B70A" w14:textId="3F4BE149" w:rsidR="00EB65E5" w:rsidRDefault="00EB65E5" w:rsidP="00EB65E5">
      <w:pPr>
        <w:pStyle w:val="Prrafodelista"/>
        <w:numPr>
          <w:ilvl w:val="0"/>
          <w:numId w:val="20"/>
        </w:numPr>
      </w:pPr>
      <w:r>
        <w:t>Deben centrarse en los activos que formarán parte de la NCT y en los servicios que se prestarán.</w:t>
      </w:r>
    </w:p>
    <w:p w14:paraId="6A933C16" w14:textId="40370E0E" w:rsidR="00437214" w:rsidRDefault="00437214" w:rsidP="00437214">
      <w:pPr>
        <w:pStyle w:val="Prrafodelista"/>
        <w:numPr>
          <w:ilvl w:val="0"/>
          <w:numId w:val="20"/>
        </w:numPr>
      </w:pPr>
      <w:r>
        <w:t xml:space="preserve">El modelo propuesto </w:t>
      </w:r>
      <w:r w:rsidR="00C9755F">
        <w:t>es</w:t>
      </w:r>
      <w:r>
        <w:t xml:space="preserve"> el despliegue aplicando</w:t>
      </w:r>
      <w:r w:rsidR="00C9755F">
        <w:t>,</w:t>
      </w:r>
      <w:r>
        <w:t xml:space="preserve"> </w:t>
      </w:r>
      <w:r w:rsidR="00C9755F">
        <w:t>principalmente</w:t>
      </w:r>
      <w:r w:rsidR="00C9755F">
        <w:t>,</w:t>
      </w:r>
      <w:r w:rsidR="00C9755F">
        <w:t xml:space="preserve"> </w:t>
      </w:r>
      <w:r>
        <w:t xml:space="preserve">tecnologías de nube </w:t>
      </w:r>
      <w:r w:rsidR="00C9755F">
        <w:t>conforme al modelo de servicio</w:t>
      </w:r>
      <w:r>
        <w:t xml:space="preserve"> SaaS </w:t>
      </w:r>
      <w:r w:rsidR="00C9755F">
        <w:t>(</w:t>
      </w:r>
      <w:r w:rsidR="00C9755F" w:rsidRPr="00C9755F">
        <w:rPr>
          <w:i/>
          <w:iCs/>
        </w:rPr>
        <w:t>Software as a Service</w:t>
      </w:r>
      <w:r w:rsidR="00C9755F">
        <w:t xml:space="preserve">, o Software como Servicio) </w:t>
      </w:r>
      <w:r>
        <w:t>sobre un mínimo de dos CPDs desplegados y que se satisfaga la regla 3-2-1. Además, deben establecerse las interconexiones necesarias de manera que, tanto el personal de la NCT se beneficie de la información de otras nubes y sistemas, como esas otras nubes</w:t>
      </w:r>
      <w:r w:rsidR="006D1DC8">
        <w:t>,</w:t>
      </w:r>
      <w:r>
        <w:t xml:space="preserve"> de la información aportada por la NCT.</w:t>
      </w:r>
    </w:p>
    <w:p w14:paraId="52B6E531" w14:textId="77777777" w:rsidR="00437214" w:rsidRDefault="00437214" w:rsidP="00437214">
      <w:pPr>
        <w:pStyle w:val="Prrafodelista"/>
        <w:numPr>
          <w:ilvl w:val="0"/>
          <w:numId w:val="20"/>
        </w:numPr>
      </w:pPr>
      <w:r>
        <w:t xml:space="preserve">Se propone la elaboración </w:t>
      </w:r>
      <w:r w:rsidR="00EB65E5">
        <w:t xml:space="preserve">de </w:t>
      </w:r>
      <w:r>
        <w:t>un documento de estrategia de N</w:t>
      </w:r>
      <w:r w:rsidR="00EB65E5">
        <w:t>CT para orientar y alinear los programas, proyectos y planes que se relacionen con la NCT</w:t>
      </w:r>
      <w:r>
        <w:t>. Así como</w:t>
      </w:r>
      <w:r w:rsidR="00EB65E5">
        <w:t xml:space="preserve"> desarrollar un Plan como hoja de ruta para avanzar hacia su establecimiento e integración de las capacidades.</w:t>
      </w:r>
    </w:p>
    <w:p w14:paraId="728ADAF1" w14:textId="3D9D32E9" w:rsidR="00EB65E5" w:rsidRDefault="00437214" w:rsidP="00437214">
      <w:pPr>
        <w:pStyle w:val="Prrafodelista"/>
        <w:numPr>
          <w:ilvl w:val="0"/>
          <w:numId w:val="20"/>
        </w:numPr>
      </w:pPr>
      <w:r>
        <w:t>Se propone r</w:t>
      </w:r>
      <w:r w:rsidR="00EB65E5">
        <w:t>ealizar los desarrollos conforme a metodologías flexibles con hitos internos y métodos de verificación y validación que permitan dar visibilidad de los avances y medidas para su extensión a la totalidad de las FTs.</w:t>
      </w:r>
    </w:p>
    <w:p w14:paraId="2CF32785" w14:textId="77777777" w:rsidR="00437214" w:rsidRDefault="00437214" w:rsidP="00437214">
      <w:pPr>
        <w:pStyle w:val="Subsection"/>
        <w:numPr>
          <w:ilvl w:val="0"/>
          <w:numId w:val="0"/>
        </w:numPr>
        <w:ind w:left="360"/>
      </w:pPr>
    </w:p>
    <w:p w14:paraId="6B11E7F7" w14:textId="4EA5532E" w:rsidR="00437214" w:rsidRDefault="00437214" w:rsidP="00437214">
      <w:pPr>
        <w:pStyle w:val="Subsection"/>
        <w:numPr>
          <w:ilvl w:val="0"/>
          <w:numId w:val="0"/>
        </w:numPr>
        <w:ind w:left="360"/>
      </w:pPr>
      <w:r>
        <w:t>3.</w:t>
      </w:r>
      <w:r w:rsidR="00206AA4">
        <w:t>4</w:t>
      </w:r>
      <w:r>
        <w:t>. Diseño de la propuesta.</w:t>
      </w:r>
    </w:p>
    <w:p w14:paraId="5BF36B8E" w14:textId="3E3D7DA9" w:rsidR="00EB65E5" w:rsidRDefault="00EB65E5" w:rsidP="00EB65E5">
      <w:r>
        <w:t>En aplicación y desarrollo de los análisis de gestión de servicios y proyectos, y de la estrategia expuesta, se ha elaborado un diseño genérico, de</w:t>
      </w:r>
      <w:r w:rsidR="00437214">
        <w:t>l</w:t>
      </w:r>
      <w:r>
        <w:t xml:space="preserve"> que se destaca lo siguiente:</w:t>
      </w:r>
    </w:p>
    <w:p w14:paraId="7C6DCBC3" w14:textId="77777777" w:rsidR="00437214" w:rsidRDefault="00EB65E5" w:rsidP="00437214">
      <w:pPr>
        <w:pStyle w:val="Prrafodelista"/>
        <w:numPr>
          <w:ilvl w:val="0"/>
          <w:numId w:val="21"/>
        </w:numPr>
      </w:pPr>
      <w:r>
        <w:t>Los requisitos operativos deben influir sobre el diseño.</w:t>
      </w:r>
    </w:p>
    <w:p w14:paraId="1E2CEC98" w14:textId="4DDF3CE3" w:rsidR="00437214" w:rsidRDefault="00437214" w:rsidP="00437214">
      <w:pPr>
        <w:pStyle w:val="Prrafodelista"/>
        <w:numPr>
          <w:ilvl w:val="0"/>
          <w:numId w:val="21"/>
        </w:numPr>
      </w:pPr>
      <w:r>
        <w:t xml:space="preserve">Deben tenerse en consideración aspectos particulares del diseño para la NCT. Entre otros, se propone </w:t>
      </w:r>
      <w:r w:rsidR="00EB65E5">
        <w:t>adoptar la solución de integrar elementos adicionales del sistema de Mando y Control sobre los diferentes activos a integrar en la NCT</w:t>
      </w:r>
      <w:r>
        <w:t xml:space="preserve"> para </w:t>
      </w:r>
      <w:r w:rsidR="00EB65E5">
        <w:t>minimiza</w:t>
      </w:r>
      <w:r>
        <w:t>r</w:t>
      </w:r>
      <w:r w:rsidR="00EB65E5">
        <w:t xml:space="preserve"> el impacto en los diferentes programas y plataformas</w:t>
      </w:r>
      <w:r>
        <w:t xml:space="preserve">,  </w:t>
      </w:r>
      <w:r w:rsidR="00EB65E5">
        <w:t>gestionar el catálogo de servicios a partir de la situación actual y</w:t>
      </w:r>
      <w:r w:rsidR="00EC27F9">
        <w:t>,</w:t>
      </w:r>
      <w:r w:rsidR="00EB65E5">
        <w:t xml:space="preserve"> </w:t>
      </w:r>
      <w:r w:rsidR="00EB65E5">
        <w:lastRenderedPageBreak/>
        <w:t>sobre esa base</w:t>
      </w:r>
      <w:r w:rsidR="00EC27F9">
        <w:t>,</w:t>
      </w:r>
      <w:r w:rsidR="00EB65E5">
        <w:t xml:space="preserve"> ampliar el diseño con los servicios establecidos avanzando por espirales</w:t>
      </w:r>
      <w:r>
        <w:t xml:space="preserve">, </w:t>
      </w:r>
      <w:r w:rsidR="00EB65E5">
        <w:t>gesti</w:t>
      </w:r>
      <w:r>
        <w:t>o</w:t>
      </w:r>
      <w:r w:rsidR="00EB65E5">
        <w:t>n</w:t>
      </w:r>
      <w:r>
        <w:t>ar</w:t>
      </w:r>
      <w:r w:rsidR="00EB65E5">
        <w:t xml:space="preserve"> el nivel de servicio </w:t>
      </w:r>
      <w:r>
        <w:t xml:space="preserve">con unidades piloto y con el resto de Fuerzas, y analizar la disponibilidad y gestión de la continuidad considerando los condicionantes del entorno táctico y la necesidad de políticas </w:t>
      </w:r>
      <w:r w:rsidR="00EB65E5">
        <w:t>«Zero Trust».</w:t>
      </w:r>
    </w:p>
    <w:p w14:paraId="4545FFF3" w14:textId="0309CDB6" w:rsidR="00206AA4" w:rsidRDefault="00EB65E5" w:rsidP="00206AA4">
      <w:pPr>
        <w:pStyle w:val="Prrafodelista"/>
        <w:numPr>
          <w:ilvl w:val="0"/>
          <w:numId w:val="21"/>
        </w:numPr>
      </w:pPr>
      <w:r>
        <w:t>En aplicación de estas consideraciones, se ha definido una arquitectura general por tipos de nodos que incorpora N</w:t>
      </w:r>
      <w:r w:rsidR="00437214">
        <w:t xml:space="preserve">odos de </w:t>
      </w:r>
      <w:r>
        <w:t>A</w:t>
      </w:r>
      <w:r w:rsidR="00437214">
        <w:t>cceso</w:t>
      </w:r>
      <w:r w:rsidR="00EC27F9">
        <w:t xml:space="preserve"> (NA)</w:t>
      </w:r>
      <w:r>
        <w:t>, N</w:t>
      </w:r>
      <w:r w:rsidR="00437214">
        <w:t xml:space="preserve">odos de </w:t>
      </w:r>
      <w:r>
        <w:t>C</w:t>
      </w:r>
      <w:r w:rsidR="00437214">
        <w:t>omunicaciones</w:t>
      </w:r>
      <w:r w:rsidR="00EC27F9">
        <w:t xml:space="preserve"> (NC)</w:t>
      </w:r>
      <w:r>
        <w:t>, N</w:t>
      </w:r>
      <w:r w:rsidR="00437214">
        <w:t xml:space="preserve">odos de Interconexión </w:t>
      </w:r>
      <w:r w:rsidR="00EC27F9">
        <w:t>(NIN</w:t>
      </w:r>
      <w:r w:rsidR="00B75E4C">
        <w:t>C</w:t>
      </w:r>
      <w:r w:rsidR="00EC27F9">
        <w:t xml:space="preserve">T) </w:t>
      </w:r>
      <w:r w:rsidR="00437214">
        <w:t>y Nodos de Proceso de Datos</w:t>
      </w:r>
      <w:r w:rsidR="00EC27F9">
        <w:t xml:space="preserve"> (NPD)</w:t>
      </w:r>
      <w:r w:rsidR="00206AA4">
        <w:t xml:space="preserve">, como arquitectura modular que </w:t>
      </w:r>
      <w:r>
        <w:t>minimiza el impacto en plataformas y facilita la gestión del proyecto.</w:t>
      </w:r>
    </w:p>
    <w:p w14:paraId="7177E556" w14:textId="61E3F3D2" w:rsidR="00206AA4" w:rsidRDefault="00EB65E5" w:rsidP="00206AA4">
      <w:pPr>
        <w:pStyle w:val="Prrafodelista"/>
        <w:numPr>
          <w:ilvl w:val="0"/>
          <w:numId w:val="21"/>
        </w:numPr>
      </w:pPr>
      <w:r>
        <w:t xml:space="preserve">Las tecnologías de telecomunicaciones analizadas posibilitan el desarrollo de la NCT. Es de especial importancia el empleo de los </w:t>
      </w:r>
      <w:proofErr w:type="spellStart"/>
      <w:r w:rsidR="00EC27F9">
        <w:t>r</w:t>
      </w:r>
      <w:r w:rsidR="00206AA4">
        <w:t>úteres</w:t>
      </w:r>
      <w:proofErr w:type="spellEnd"/>
      <w:r w:rsidR="00206AA4">
        <w:t xml:space="preserve"> </w:t>
      </w:r>
      <w:r w:rsidR="00EC27F9">
        <w:t>t</w:t>
      </w:r>
      <w:r w:rsidR="00206AA4">
        <w:t>ácticos</w:t>
      </w:r>
      <w:r>
        <w:t xml:space="preserve"> que permitan incrementar las posibilidades de comunicaci</w:t>
      </w:r>
      <w:r w:rsidR="006D1DC8">
        <w:t>ó</w:t>
      </w:r>
      <w:r>
        <w:t>n, en virtud del entorno en el que se desarrollen las operaciones.</w:t>
      </w:r>
    </w:p>
    <w:p w14:paraId="42E048D3" w14:textId="749759E0" w:rsidR="00206AA4" w:rsidRDefault="00EB65E5" w:rsidP="00206AA4">
      <w:pPr>
        <w:pStyle w:val="Prrafodelista"/>
        <w:numPr>
          <w:ilvl w:val="0"/>
          <w:numId w:val="21"/>
        </w:numPr>
      </w:pPr>
      <w:r>
        <w:t>Las tecnologías de nube, y particularmente el modelo de SaaS es de aplicación para la mayor parte de los servicios previstos en la propuesta. Es necesario analizar, en algunos casos, la existencia de pasarelas entre algunos elementos como</w:t>
      </w:r>
      <w:r w:rsidR="00B75E4C">
        <w:t>,</w:t>
      </w:r>
      <w:r>
        <w:t xml:space="preserve"> por ejemplo</w:t>
      </w:r>
      <w:r w:rsidR="00B75E4C">
        <w:t>,</w:t>
      </w:r>
      <w:r>
        <w:t xml:space="preserve"> los terminales radio y los teléfonos para comunicaciones de voz.</w:t>
      </w:r>
    </w:p>
    <w:p w14:paraId="7E353CFF" w14:textId="4E4EDF7B" w:rsidR="00EB65E5" w:rsidRDefault="00EB65E5" w:rsidP="00206AA4">
      <w:pPr>
        <w:pStyle w:val="Prrafodelista"/>
        <w:numPr>
          <w:ilvl w:val="0"/>
          <w:numId w:val="21"/>
        </w:numPr>
      </w:pPr>
      <w:r>
        <w:t>El diseño de nodos modular que se ha propuesto facilita la adaptación de los servicios al entorno operativo, pero a su vez, requieren una gestión y control por parte del proveedor o proveedores de servicios que, en su caso, deberán trabajar en coordinación.</w:t>
      </w:r>
    </w:p>
    <w:p w14:paraId="3C68ABF2" w14:textId="77777777" w:rsidR="00EB65E5" w:rsidRDefault="00EB65E5" w:rsidP="0084620C"/>
    <w:p w14:paraId="4CF697D0" w14:textId="3F8DB407" w:rsidR="00206AA4" w:rsidRDefault="00206AA4" w:rsidP="00206AA4">
      <w:pPr>
        <w:pStyle w:val="Subsection"/>
        <w:numPr>
          <w:ilvl w:val="0"/>
          <w:numId w:val="0"/>
        </w:numPr>
        <w:ind w:left="360"/>
      </w:pPr>
      <w:r>
        <w:t>3.5. Recomendaciones.</w:t>
      </w:r>
    </w:p>
    <w:p w14:paraId="6BEC1640" w14:textId="77777777" w:rsidR="00206AA4" w:rsidRDefault="00206AA4" w:rsidP="00206AA4">
      <w:r>
        <w:t>En relación con la estrategia de la NCT conforme a la propuesta realizada se recomienda:</w:t>
      </w:r>
    </w:p>
    <w:p w14:paraId="3030F3C7" w14:textId="77777777" w:rsidR="00206AA4" w:rsidRDefault="00206AA4" w:rsidP="00206AA4">
      <w:pPr>
        <w:pStyle w:val="Prrafodelista"/>
        <w:numPr>
          <w:ilvl w:val="0"/>
          <w:numId w:val="22"/>
        </w:numPr>
      </w:pPr>
      <w:r>
        <w:t>Impulsar su desarrollo desde los niveles más altos de la organización. Así se facilitarán los trabajos entre los distintos órganos implicados en el diseño, la obtención de los recursos necesarios, transición del servicio y su desarrollo operativo. Para ello, se recomienda elaborar una estrategia corporativa a largo plazo y un plan con las líneas de trabajo y objetivos para materializar la transición del servicio.</w:t>
      </w:r>
    </w:p>
    <w:p w14:paraId="52C6DEA3" w14:textId="77777777" w:rsidR="00206AA4" w:rsidRDefault="00206AA4" w:rsidP="00206AA4">
      <w:pPr>
        <w:pStyle w:val="Prrafodelista"/>
        <w:numPr>
          <w:ilvl w:val="0"/>
          <w:numId w:val="22"/>
        </w:numPr>
      </w:pPr>
      <w:r>
        <w:t>Organizar el proyecto para que su liderazgo le corresponda a las FTs, que deberán coordinar los diferentes elementos que intervienen en el desarrollo, y realizar la gestión del cambio. Se propone su desarrollo minimizando el impacto en otros programas, por agregación de elementos TIC siempre que sea posible, y manteniendo flexibilidad para incorporar nuevos elementos y tecnologías que puedan surgir y ser de interés.</w:t>
      </w:r>
    </w:p>
    <w:p w14:paraId="6B2DD84B" w14:textId="280DCE32" w:rsidR="00206AA4" w:rsidRDefault="00206AA4" w:rsidP="00206AA4">
      <w:pPr>
        <w:pStyle w:val="Prrafodelista"/>
        <w:numPr>
          <w:ilvl w:val="0"/>
          <w:numId w:val="22"/>
        </w:numPr>
      </w:pPr>
      <w:r>
        <w:t>Establecer una oficina de gestión de proyecto de la NCT en las FTs para ejercer ese liderazgo</w:t>
      </w:r>
      <w:r w:rsidR="00612D70">
        <w:t>,</w:t>
      </w:r>
      <w:r>
        <w:t xml:space="preserve"> realizar el seguimiento y coordinación de los diferentes elementos, </w:t>
      </w:r>
      <w:r w:rsidR="00EC27F9">
        <w:t xml:space="preserve">así como </w:t>
      </w:r>
      <w:r>
        <w:t>el control y gestión del cambio.</w:t>
      </w:r>
    </w:p>
    <w:p w14:paraId="0A8308CE" w14:textId="77777777" w:rsidR="00206AA4" w:rsidRDefault="00206AA4" w:rsidP="00206AA4">
      <w:pPr>
        <w:pStyle w:val="Prrafodelista"/>
        <w:numPr>
          <w:ilvl w:val="0"/>
          <w:numId w:val="22"/>
        </w:numPr>
      </w:pPr>
      <w:r>
        <w:t>Realizar trabajos de comunicación interna, ligados al desarrollo de la estrategia corporativa, para destacar la importancia de la NCT, su influencia en el rendimiento de las FTs y dar visibilidad a los trabajos con unidades piloto, partiendo de la situación actual y avanzando con los servicios de mayor interés, controlando el portafolio de servicios.</w:t>
      </w:r>
    </w:p>
    <w:p w14:paraId="08ADBCA0" w14:textId="77777777" w:rsidR="00206AA4" w:rsidRDefault="00206AA4" w:rsidP="00206AA4">
      <w:pPr>
        <w:pStyle w:val="Prrafodelista"/>
        <w:numPr>
          <w:ilvl w:val="0"/>
          <w:numId w:val="22"/>
        </w:numPr>
      </w:pPr>
      <w:r>
        <w:t>Fomentar el conocimiento mutuo entre el ámbito operativo y las posibilidades que ofrece la tecnología a través de la provisión de servicios, de manera que los órganos de planeamiento y desarrollo de la NCT reciban las necesidades de las unidades de la FT y los objetivos de la organización. Deberá revisarse frecuentemente el portafolio de servicios.</w:t>
      </w:r>
    </w:p>
    <w:p w14:paraId="70461DEA" w14:textId="1C32EF59" w:rsidR="00206AA4" w:rsidRDefault="00206AA4" w:rsidP="00206AA4">
      <w:pPr>
        <w:pStyle w:val="Prrafodelista"/>
        <w:numPr>
          <w:ilvl w:val="0"/>
          <w:numId w:val="22"/>
        </w:numPr>
      </w:pPr>
      <w:r>
        <w:lastRenderedPageBreak/>
        <w:t>Gestionar los riesgos de manera activa e iterativa, revisándolos, aprovechando oportunidades y adoptando las acciones necesarias para evitar, transferir o mitigar los riesgos negativos. Todo ello</w:t>
      </w:r>
      <w:r w:rsidR="00EC27F9">
        <w:t>,</w:t>
      </w:r>
      <w:r>
        <w:t xml:space="preserve"> dando cumplimiento a las normas, guías y medidas de seguridad correspondientes.</w:t>
      </w:r>
    </w:p>
    <w:p w14:paraId="40456EE6" w14:textId="77777777" w:rsidR="0043406A" w:rsidRDefault="0043406A" w:rsidP="0043406A">
      <w:r>
        <w:t>En relación con el diseño general de la NCT, dando continuidad a la propuesta, se recomienda:</w:t>
      </w:r>
    </w:p>
    <w:p w14:paraId="4D118880" w14:textId="10AD087D" w:rsidR="0043406A" w:rsidRDefault="0043406A" w:rsidP="0043406A">
      <w:pPr>
        <w:pStyle w:val="Prrafodelista"/>
        <w:numPr>
          <w:ilvl w:val="0"/>
          <w:numId w:val="23"/>
        </w:numPr>
      </w:pPr>
      <w:r>
        <w:t>Con carácter general, emplear el modelo de despliegue de Software como Servicio (</w:t>
      </w:r>
      <w:r w:rsidRPr="0043406A">
        <w:rPr>
          <w:i/>
          <w:iCs/>
        </w:rPr>
        <w:t>Software as a Service</w:t>
      </w:r>
      <w:r>
        <w:t xml:space="preserve">). Podría utilizarse </w:t>
      </w:r>
      <w:r w:rsidR="006D1DC8">
        <w:t>Infraestructura como Servicio (</w:t>
      </w:r>
      <w:proofErr w:type="spellStart"/>
      <w:r w:rsidR="006D1DC8" w:rsidRPr="006D1DC8">
        <w:rPr>
          <w:i/>
          <w:iCs/>
        </w:rPr>
        <w:t>Infrastructure</w:t>
      </w:r>
      <w:proofErr w:type="spellEnd"/>
      <w:r w:rsidR="006D1DC8" w:rsidRPr="006D1DC8">
        <w:rPr>
          <w:i/>
          <w:iCs/>
        </w:rPr>
        <w:t xml:space="preserve"> as a Service</w:t>
      </w:r>
      <w:r w:rsidR="006D1DC8">
        <w:t xml:space="preserve">, o </w:t>
      </w:r>
      <w:r>
        <w:t>IaaS</w:t>
      </w:r>
      <w:r w:rsidR="006D1DC8">
        <w:t>)</w:t>
      </w:r>
      <w:r>
        <w:t xml:space="preserve"> para el Nodo de Integración y, en su caso, Nodos de Proceso de Datos de respaldo sobre infraestructura permanente.</w:t>
      </w:r>
    </w:p>
    <w:p w14:paraId="4659FDAA" w14:textId="34AC0EFC" w:rsidR="0043406A" w:rsidRDefault="0043406A" w:rsidP="0043406A">
      <w:pPr>
        <w:pStyle w:val="Prrafodelista"/>
        <w:numPr>
          <w:ilvl w:val="0"/>
          <w:numId w:val="23"/>
        </w:numPr>
      </w:pPr>
      <w:r>
        <w:t>Iniciar el diseño desde la situación actual, para progresar iterativamente con retroalimentación y manteniendo simples y prácticos los desarrollos, coordinando el diseño</w:t>
      </w:r>
      <w:r w:rsidR="00612D70">
        <w:t>,</w:t>
      </w:r>
      <w:r>
        <w:t xml:space="preserve"> actualizándolo y revisándolo con los usuarios y todos los órganos implicados.</w:t>
      </w:r>
    </w:p>
    <w:p w14:paraId="5DC7ED6A" w14:textId="77777777" w:rsidR="0043406A" w:rsidRDefault="0043406A" w:rsidP="0043406A">
      <w:pPr>
        <w:pStyle w:val="Prrafodelista"/>
        <w:numPr>
          <w:ilvl w:val="0"/>
          <w:numId w:val="23"/>
        </w:numPr>
      </w:pPr>
      <w:r>
        <w:t>Llevar a cabo un diseño de nodos conforme a lo establecido en la arquitectura general para la NCT expuesta anteriormente.</w:t>
      </w:r>
    </w:p>
    <w:p w14:paraId="01440FD8" w14:textId="17DAB8A4" w:rsidR="0043406A" w:rsidRDefault="0043406A" w:rsidP="0043406A">
      <w:pPr>
        <w:pStyle w:val="Prrafodelista"/>
        <w:numPr>
          <w:ilvl w:val="0"/>
          <w:numId w:val="23"/>
        </w:numPr>
      </w:pPr>
      <w:r>
        <w:t>Diseñar los nodos de acceso permitiendo su agregación sobre las plataformas, de manera que se minimice su impacto en los programas de las diferentes plataformas, y se facilite su gestión</w:t>
      </w:r>
      <w:r w:rsidR="00612D70">
        <w:t>,</w:t>
      </w:r>
      <w:r>
        <w:t xml:space="preserve"> sostenimiento y el empleo de metodologías de integración más ágiles minimizando los riesgos de utilizar métodos predictivos y poco flexibles asociados a las plataformas.</w:t>
      </w:r>
    </w:p>
    <w:p w14:paraId="784576EC" w14:textId="77777777" w:rsidR="0043406A" w:rsidRDefault="0043406A" w:rsidP="0043406A">
      <w:pPr>
        <w:pStyle w:val="Prrafodelista"/>
        <w:numPr>
          <w:ilvl w:val="0"/>
          <w:numId w:val="23"/>
        </w:numPr>
      </w:pPr>
      <w:r>
        <w:t>Incorporar una composición genérica para los diferentes nodos de acceso y posibilitar su ampliación, por agregación de nodos de comunicaciones que permitan el empleo de diversos soportes de transmisión gestionados con un rúter táctico, en su caso.</w:t>
      </w:r>
    </w:p>
    <w:p w14:paraId="458234FC" w14:textId="77777777" w:rsidR="0043406A" w:rsidRDefault="0043406A" w:rsidP="0043406A">
      <w:pPr>
        <w:pStyle w:val="Prrafodelista"/>
        <w:numPr>
          <w:ilvl w:val="0"/>
          <w:numId w:val="23"/>
        </w:numPr>
      </w:pPr>
      <w:r>
        <w:t>Incorporar, al menos, dos NPD en réplica que aseguren la disponibilidad y dar cumplimiento a la regla general de tres copias, dos soportes diferentes y uno fuera de sitio. Todo ello para asegurar la supervivencia de los servicios caso de mal funcionamiento o destrucción de nodos, que deberá ser probada.</w:t>
      </w:r>
    </w:p>
    <w:p w14:paraId="53C31858" w14:textId="0FC72475" w:rsidR="0043406A" w:rsidRDefault="0043406A" w:rsidP="0043406A">
      <w:pPr>
        <w:pStyle w:val="Prrafodelista"/>
        <w:numPr>
          <w:ilvl w:val="0"/>
          <w:numId w:val="23"/>
        </w:numPr>
      </w:pPr>
      <w:r>
        <w:t>Emplear metodologías ágiles</w:t>
      </w:r>
      <w:r w:rsidR="006D1DC8">
        <w:t xml:space="preserve"> o </w:t>
      </w:r>
      <w:r w:rsidRPr="0043406A">
        <w:rPr>
          <w:i/>
          <w:iCs/>
        </w:rPr>
        <w:t>scrum</w:t>
      </w:r>
      <w:r>
        <w:t xml:space="preserve"> para el desarrollo del software y las configuraciones básicas de la red.</w:t>
      </w:r>
    </w:p>
    <w:p w14:paraId="17928EB5" w14:textId="65CE46C3" w:rsidR="0043406A" w:rsidRDefault="0043406A" w:rsidP="0043406A">
      <w:pPr>
        <w:pStyle w:val="Prrafodelista"/>
        <w:numPr>
          <w:ilvl w:val="0"/>
          <w:numId w:val="23"/>
        </w:numPr>
      </w:pPr>
      <w:r>
        <w:t>Evitar los proveedores que tengan riesgos de continuidad del suministro por motivos políticos, económicos, o de cualquier índole.</w:t>
      </w:r>
    </w:p>
    <w:p w14:paraId="423E7BEC" w14:textId="579EF64B" w:rsidR="0043406A" w:rsidRDefault="0043406A" w:rsidP="0043406A">
      <w:pPr>
        <w:pStyle w:val="Prrafodelista"/>
        <w:numPr>
          <w:ilvl w:val="0"/>
          <w:numId w:val="23"/>
        </w:numPr>
      </w:pPr>
      <w:r>
        <w:t>Gestionar el catálogo de servicios partiendo de la situación actual y, sobre esa base, ampliar el diseño con los servicios de mayor valor, avanzando por espirales conforme a los requerimientos del cliente e ir incorporando los servicios identificados como deseables y estableciendo los criterios bajo los cuales se asegura la utilidad.</w:t>
      </w:r>
    </w:p>
    <w:p w14:paraId="6A8BFF09" w14:textId="77777777" w:rsidR="0043406A" w:rsidRDefault="0043406A" w:rsidP="0043406A">
      <w:pPr>
        <w:pStyle w:val="Prrafodelista"/>
        <w:numPr>
          <w:ilvl w:val="0"/>
          <w:numId w:val="23"/>
        </w:numPr>
      </w:pPr>
      <w:r>
        <w:t xml:space="preserve">Llevar a cabo, a modo de prueba, la gestión del nivel de servicio sobre una unidad piloto que pueda realizar la validación de los servicios permitiendo revisar la composición de los nodos propuesta y, posteriormente, gestionar el nivel de servicio sobre la totalidad de las FTs. </w:t>
      </w:r>
    </w:p>
    <w:p w14:paraId="5FC8BA76" w14:textId="357D91C3" w:rsidR="0043406A" w:rsidRDefault="0043406A" w:rsidP="0043406A">
      <w:pPr>
        <w:pStyle w:val="Prrafodelista"/>
        <w:numPr>
          <w:ilvl w:val="0"/>
          <w:numId w:val="23"/>
        </w:numPr>
      </w:pPr>
      <w:r>
        <w:t>Desarrollar los aspectos de seguridad en coordinación con los órganos responsables de acreditación del sistema</w:t>
      </w:r>
      <w:r w:rsidR="006D1DC8">
        <w:t>,</w:t>
      </w:r>
      <w:r>
        <w:t xml:space="preserve"> verificando el cumplimiento de la normativa aplicable sobre un despliegue genérico.</w:t>
      </w:r>
    </w:p>
    <w:p w14:paraId="77338062" w14:textId="65721DBE" w:rsidR="0043406A" w:rsidRDefault="0043406A" w:rsidP="0043406A">
      <w:pPr>
        <w:pStyle w:val="Prrafodelista"/>
        <w:numPr>
          <w:ilvl w:val="0"/>
          <w:numId w:val="23"/>
        </w:numPr>
      </w:pPr>
      <w:r>
        <w:t xml:space="preserve">En lo relacionado con las comunicaciones, considerar los </w:t>
      </w:r>
      <w:r w:rsidR="00612D70">
        <w:t xml:space="preserve">siguientes </w:t>
      </w:r>
      <w:r>
        <w:t>soportes: fibra óptica, 5G, radioenlaces, enlaces satélite LEO, GEO, radioteléfono, redes definidas por software y balanceadores de carga para utilizar los métodos sencillos de réplica entre NPD.</w:t>
      </w:r>
    </w:p>
    <w:p w14:paraId="51B9E905" w14:textId="25053775" w:rsidR="00206AA4" w:rsidRDefault="0043406A" w:rsidP="0043406A">
      <w:pPr>
        <w:pStyle w:val="Prrafodelista"/>
        <w:numPr>
          <w:ilvl w:val="0"/>
          <w:numId w:val="23"/>
        </w:numPr>
      </w:pPr>
      <w:r>
        <w:t xml:space="preserve">En lo relacionado con los sistemas de información, desarrollar la integración de sistemas a través de </w:t>
      </w:r>
      <w:proofErr w:type="spellStart"/>
      <w:r>
        <w:t>APIs</w:t>
      </w:r>
      <w:proofErr w:type="spellEnd"/>
      <w:r>
        <w:t xml:space="preserve"> </w:t>
      </w:r>
      <w:r w:rsidR="00EC27F9">
        <w:t>(</w:t>
      </w:r>
      <w:proofErr w:type="spellStart"/>
      <w:r w:rsidR="00EC27F9" w:rsidRPr="00EC27F9">
        <w:rPr>
          <w:i/>
          <w:iCs/>
        </w:rPr>
        <w:t>Application</w:t>
      </w:r>
      <w:proofErr w:type="spellEnd"/>
      <w:r w:rsidR="00EC27F9" w:rsidRPr="00EC27F9">
        <w:rPr>
          <w:i/>
          <w:iCs/>
        </w:rPr>
        <w:t xml:space="preserve"> </w:t>
      </w:r>
      <w:proofErr w:type="spellStart"/>
      <w:r w:rsidR="00EC27F9" w:rsidRPr="00EC27F9">
        <w:rPr>
          <w:i/>
          <w:iCs/>
        </w:rPr>
        <w:t>Programming</w:t>
      </w:r>
      <w:proofErr w:type="spellEnd"/>
      <w:r w:rsidR="00EC27F9" w:rsidRPr="00EC27F9">
        <w:rPr>
          <w:i/>
          <w:iCs/>
        </w:rPr>
        <w:t xml:space="preserve"> </w:t>
      </w:r>
      <w:proofErr w:type="gramStart"/>
      <w:r w:rsidR="00EC27F9" w:rsidRPr="00EC27F9">
        <w:rPr>
          <w:i/>
          <w:iCs/>
        </w:rPr>
        <w:t>Interface</w:t>
      </w:r>
      <w:proofErr w:type="gramEnd"/>
      <w:r w:rsidR="00EC27F9">
        <w:t>)</w:t>
      </w:r>
      <w:r>
        <w:t xml:space="preserve"> por metodologías ágiles y </w:t>
      </w:r>
      <w:r w:rsidRPr="006D1DC8">
        <w:rPr>
          <w:i/>
          <w:iCs/>
        </w:rPr>
        <w:t>scrum</w:t>
      </w:r>
      <w:r>
        <w:t xml:space="preserve">, incorporando el enriquecimiento de los sistemas de información geográfica con la información </w:t>
      </w:r>
      <w:r>
        <w:lastRenderedPageBreak/>
        <w:t>de sensores y</w:t>
      </w:r>
      <w:r w:rsidR="00EC27F9">
        <w:t>,</w:t>
      </w:r>
      <w:r>
        <w:t xml:space="preserve"> probar y refinar el empleo de IA, tanto para su uso sobre los NPD como el empleo en el </w:t>
      </w:r>
      <w:proofErr w:type="spellStart"/>
      <w:r w:rsidRPr="00EC27F9">
        <w:rPr>
          <w:i/>
          <w:iCs/>
        </w:rPr>
        <w:t>edge</w:t>
      </w:r>
      <w:proofErr w:type="spellEnd"/>
      <w:r>
        <w:t xml:space="preserve"> con supervisión de los resultados.</w:t>
      </w:r>
    </w:p>
    <w:p w14:paraId="5402D097" w14:textId="77777777" w:rsidR="0043406A" w:rsidRDefault="0043406A" w:rsidP="0043406A">
      <w:pPr>
        <w:ind w:left="360" w:firstLine="0"/>
      </w:pPr>
    </w:p>
    <w:p w14:paraId="3B82B140" w14:textId="08EC2165" w:rsidR="0043406A" w:rsidRPr="0041237B" w:rsidRDefault="0043406A" w:rsidP="0043406A">
      <w:pPr>
        <w:pStyle w:val="Section"/>
      </w:pPr>
      <w:r>
        <w:t>Conclusiones y líneas futuras.</w:t>
      </w:r>
    </w:p>
    <w:p w14:paraId="573D30AB" w14:textId="1007D99A" w:rsidR="0043406A" w:rsidRDefault="0043406A" w:rsidP="0043406A">
      <w:r>
        <w:t>En la actualidad, es viable el desarrollo de una NCT, pero se trata de un proceso complejo que debe analizarse en cada caso particular</w:t>
      </w:r>
      <w:r w:rsidR="006D1DC8">
        <w:t>, observando, además,</w:t>
      </w:r>
      <w:r>
        <w:t xml:space="preserve"> las mejores prácticas contenidas en las </w:t>
      </w:r>
      <w:r w:rsidR="006D1DC8">
        <w:t>bibliotecas</w:t>
      </w:r>
      <w:r>
        <w:t xml:space="preserve"> ITIL. </w:t>
      </w:r>
      <w:r w:rsidR="006D1DC8">
        <w:t>Derivado d</w:t>
      </w:r>
      <w:r>
        <w:t>el análisis realizado, en la propuesta se han incorporado las conclusione</w:t>
      </w:r>
      <w:r w:rsidR="00283604">
        <w:t>s y las recomendaciones que se podrían utilizar</w:t>
      </w:r>
      <w:r w:rsidR="006D1DC8">
        <w:t>,</w:t>
      </w:r>
      <w:r w:rsidR="00283604">
        <w:t xml:space="preserve"> como base</w:t>
      </w:r>
      <w:r w:rsidR="006D1DC8">
        <w:t>,</w:t>
      </w:r>
      <w:r w:rsidR="00283604">
        <w:t xml:space="preserve"> para adaptarlas a los casos particulares.</w:t>
      </w:r>
    </w:p>
    <w:p w14:paraId="0C444AD2" w14:textId="264E0ECF" w:rsidR="00283604" w:rsidRDefault="00283604" w:rsidP="0043406A">
      <w:r>
        <w:t xml:space="preserve">Como líneas futuras, se </w:t>
      </w:r>
      <w:r w:rsidR="004C1A13">
        <w:t>han identificado</w:t>
      </w:r>
      <w:r>
        <w:t xml:space="preserve"> las siguientes:</w:t>
      </w:r>
    </w:p>
    <w:p w14:paraId="6033F509" w14:textId="62F3E6CD" w:rsidR="00283604" w:rsidRDefault="00283604" w:rsidP="008B63C6">
      <w:pPr>
        <w:pStyle w:val="Prrafodelista"/>
        <w:numPr>
          <w:ilvl w:val="0"/>
          <w:numId w:val="24"/>
        </w:numPr>
      </w:pPr>
      <w:r>
        <w:t>Estudiar en mayor detalle las soluciones de Nube de Combate que puedan existir y tengan cierto grado de madurez. En principio, y motivado por los esfuerzos que están realizando los Estados Unidos, sus desarrollos pudieran arrojar importante información para comprender su estrategia de desarrollo tanto en el ámbito conjunto como en el específico del Army.</w:t>
      </w:r>
    </w:p>
    <w:p w14:paraId="3AD3E3B5" w14:textId="6CD652D3" w:rsidR="00283604" w:rsidRDefault="00283604" w:rsidP="00283604">
      <w:pPr>
        <w:pStyle w:val="Prrafodelista"/>
        <w:numPr>
          <w:ilvl w:val="0"/>
          <w:numId w:val="24"/>
        </w:numPr>
      </w:pPr>
      <w:r>
        <w:t xml:space="preserve">Estudiar en detalle las prestaciones de las tecnologías de nube y su </w:t>
      </w:r>
      <w:r w:rsidR="009270BA">
        <w:t>evolución, para</w:t>
      </w:r>
      <w:r>
        <w:t xml:space="preserve"> determinar la viabilidad de emplear los modelos de nube en los diferentes tipos de servicios CIS que se prestan en redes tácticas sujetas a inestabilidad, limitaciones de capacidad de transmisión y latencia, necesidad de supervivencia y disponibilidad, todo ello manteniendo un diseño sencillo que posibilite la utilidad y garantía necesarias.</w:t>
      </w:r>
    </w:p>
    <w:p w14:paraId="47F1F78B" w14:textId="5C551E85" w:rsidR="00283604" w:rsidRDefault="00283604" w:rsidP="00283604">
      <w:pPr>
        <w:pStyle w:val="Prrafodelista"/>
        <w:numPr>
          <w:ilvl w:val="0"/>
          <w:numId w:val="24"/>
        </w:numPr>
      </w:pPr>
      <w:r>
        <w:t>Estudiar en detalle la evolución de todas las tecnologías de telecomunicaciones y sistemas de información expuestos y, particularmente, por considerarse de especial relevancia y con margen de desarrollo: satélite LEO y MEO, redes definidas por software, sistemas de réplica y alta disponibilidad que aseguren la información a pesar de la destrucción o malfuncionamiento, y sistemas de IA para fusión de la información de diferentes sistemas y apoyo a la decisión.</w:t>
      </w:r>
    </w:p>
    <w:p w14:paraId="51455004" w14:textId="4EA10C7D" w:rsidR="00283604" w:rsidRDefault="00283604" w:rsidP="00283604">
      <w:pPr>
        <w:pStyle w:val="Prrafodelista"/>
        <w:numPr>
          <w:ilvl w:val="0"/>
          <w:numId w:val="24"/>
        </w:numPr>
      </w:pPr>
      <w:r>
        <w:t xml:space="preserve">Completar la propuesta de estrategia </w:t>
      </w:r>
      <w:r w:rsidR="00BB41D4">
        <w:t xml:space="preserve">y diseño </w:t>
      </w:r>
      <w:r>
        <w:t xml:space="preserve">de Nube de Combate para las FTs realizada con el estudio de detalle sobre la totalidad de capacidades de las FTs y desarrollar, en coordinación con los órganos implicados, los trabajos de estrategia y planes relacionados con los procesos de </w:t>
      </w:r>
      <w:r w:rsidR="00BB41D4">
        <w:t xml:space="preserve">diseño, </w:t>
      </w:r>
      <w:r>
        <w:t>obtención, desarrollo operativo, gestión del cambio y evolución.</w:t>
      </w:r>
    </w:p>
    <w:p w14:paraId="2C531CEC" w14:textId="2188C140" w:rsidR="00283604" w:rsidRDefault="00283604" w:rsidP="00283604">
      <w:pPr>
        <w:pStyle w:val="Prrafodelista"/>
        <w:numPr>
          <w:ilvl w:val="0"/>
          <w:numId w:val="24"/>
        </w:numPr>
      </w:pPr>
      <w:r>
        <w:t xml:space="preserve">Perfeccionar los aspectos generales de diseño con la definición de los requisitos operativos, el modo de empleo de las tecnologías para la gestión de la continuidad y la disponibilidad, </w:t>
      </w:r>
      <w:r w:rsidR="006D1DC8">
        <w:t xml:space="preserve">y </w:t>
      </w:r>
      <w:r>
        <w:t>contrastar la propuesta con su materialización</w:t>
      </w:r>
      <w:r w:rsidR="006D1DC8">
        <w:t>,</w:t>
      </w:r>
      <w:r>
        <w:t xml:space="preserve"> para verificar su viabilidad y detallar los condicionantes que entrañaría en términos de personal y materiales, y realizar estudios de detalle sobre los aspectos relacionados con la seguridad. </w:t>
      </w:r>
    </w:p>
    <w:p w14:paraId="301CB06D" w14:textId="77777777" w:rsidR="00B52690" w:rsidRDefault="00B52690" w:rsidP="00D72969">
      <w:pPr>
        <w:pStyle w:val="Reftitle"/>
        <w:ind w:firstLine="0"/>
      </w:pPr>
    </w:p>
    <w:p w14:paraId="57A91FCF" w14:textId="3C934EA7" w:rsidR="008977A6" w:rsidRPr="00465791" w:rsidRDefault="008977A6" w:rsidP="00D72969">
      <w:pPr>
        <w:pStyle w:val="Reftitle"/>
        <w:ind w:firstLine="0"/>
        <w:rPr>
          <w:b w:val="0"/>
        </w:rPr>
      </w:pPr>
      <w:proofErr w:type="spellStart"/>
      <w:r w:rsidRPr="0041237B">
        <w:t>R</w:t>
      </w:r>
      <w:r w:rsidR="00A4407A" w:rsidRPr="0041237B">
        <w:t>eferencias</w:t>
      </w:r>
      <w:proofErr w:type="spellEnd"/>
      <w:r w:rsidR="00465791">
        <w:br/>
      </w:r>
      <w:r w:rsidR="00465791">
        <w:br/>
      </w:r>
    </w:p>
    <w:p w14:paraId="5698F9A8" w14:textId="77777777" w:rsidR="004C1A13" w:rsidRDefault="004C1A13" w:rsidP="006D1DC8">
      <w:pPr>
        <w:pStyle w:val="ReferencesSection"/>
      </w:pPr>
      <w:r>
        <w:t xml:space="preserve">Summary of the Joint All Domain Command and Control Strategy. Defense.gov. </w:t>
      </w:r>
      <w:proofErr w:type="spellStart"/>
      <w:r>
        <w:t>Recuperado</w:t>
      </w:r>
      <w:proofErr w:type="spellEnd"/>
      <w:r>
        <w:t xml:space="preserve"> </w:t>
      </w:r>
      <w:proofErr w:type="spellStart"/>
      <w:r>
        <w:t>el</w:t>
      </w:r>
      <w:proofErr w:type="spellEnd"/>
      <w:r>
        <w:t xml:space="preserve"> 29 de </w:t>
      </w:r>
      <w:proofErr w:type="spellStart"/>
      <w:r>
        <w:t>noviembre</w:t>
      </w:r>
      <w:proofErr w:type="spellEnd"/>
      <w:r>
        <w:t xml:space="preserve"> de 2025, de https://media.defense.gov/2022/Mar/17/2002958406/-1/-1/1/SUMMARY-OF-THE-JOINT-ALL-DOMAIN-COMMAND-AND-CONTROL-STRATEGY.pdf</w:t>
      </w:r>
    </w:p>
    <w:p w14:paraId="45AE96D8" w14:textId="77777777" w:rsidR="004C1A13" w:rsidRDefault="004C1A13" w:rsidP="006D1DC8">
      <w:pPr>
        <w:pStyle w:val="ReferencesSection"/>
      </w:pPr>
      <w:r>
        <w:lastRenderedPageBreak/>
        <w:t xml:space="preserve">Army Unified Network Plan. Army.mil. </w:t>
      </w:r>
      <w:proofErr w:type="spellStart"/>
      <w:r>
        <w:t>Recuperado</w:t>
      </w:r>
      <w:proofErr w:type="spellEnd"/>
      <w:r>
        <w:t xml:space="preserve"> </w:t>
      </w:r>
      <w:proofErr w:type="spellStart"/>
      <w:r>
        <w:t>el</w:t>
      </w:r>
      <w:proofErr w:type="spellEnd"/>
      <w:r>
        <w:t xml:space="preserve"> 29 de </w:t>
      </w:r>
      <w:proofErr w:type="spellStart"/>
      <w:r>
        <w:t>noviembre</w:t>
      </w:r>
      <w:proofErr w:type="spellEnd"/>
      <w:r>
        <w:t xml:space="preserve"> de 2025, de https://api.army.mil/e2/c/downloads/2021/10/07/d43180cc/army-unified-network-plan-2021.pdf</w:t>
      </w:r>
    </w:p>
    <w:p w14:paraId="38E73346" w14:textId="55DDBD20" w:rsidR="004C1A13" w:rsidRDefault="004C1A13" w:rsidP="006D1DC8">
      <w:pPr>
        <w:pStyle w:val="ReferencesSection"/>
      </w:pPr>
      <w:r>
        <w:t xml:space="preserve">Army Unified Network Plan 2.0. Army.mil. </w:t>
      </w:r>
      <w:proofErr w:type="spellStart"/>
      <w:r>
        <w:t>Recuperado</w:t>
      </w:r>
      <w:proofErr w:type="spellEnd"/>
      <w:r>
        <w:t xml:space="preserve"> </w:t>
      </w:r>
      <w:proofErr w:type="spellStart"/>
      <w:r>
        <w:t>el</w:t>
      </w:r>
      <w:proofErr w:type="spellEnd"/>
      <w:r>
        <w:t xml:space="preserve"> 29 de </w:t>
      </w:r>
      <w:proofErr w:type="spellStart"/>
      <w:r>
        <w:t>noviembre</w:t>
      </w:r>
      <w:proofErr w:type="spellEnd"/>
      <w:r>
        <w:t xml:space="preserve"> de 2025, de https://api.army.mil/e2/c/downloads/2025/03/04/0b7f95c5/army-unified-network-plan-2-0.pdf</w:t>
      </w:r>
    </w:p>
    <w:p w14:paraId="465C2C35" w14:textId="0748BC6A" w:rsidR="004C1A13" w:rsidRDefault="00F47A8B" w:rsidP="006D1DC8">
      <w:pPr>
        <w:pStyle w:val="ReferencesSection"/>
      </w:pPr>
      <w:proofErr w:type="spellStart"/>
      <w:r w:rsidRPr="00F47A8B">
        <w:t>Resolución</w:t>
      </w:r>
      <w:proofErr w:type="spellEnd"/>
      <w:r w:rsidRPr="00F47A8B">
        <w:t xml:space="preserve"> 307/08136/21, de 17 de mayo de 2021, del </w:t>
      </w:r>
      <w:proofErr w:type="spellStart"/>
      <w:r w:rsidRPr="00F47A8B">
        <w:t>Secretario</w:t>
      </w:r>
      <w:proofErr w:type="spellEnd"/>
      <w:r w:rsidRPr="00F47A8B">
        <w:t xml:space="preserve"> de Estado de </w:t>
      </w:r>
      <w:proofErr w:type="spellStart"/>
      <w:r w:rsidRPr="00F47A8B">
        <w:t>Defensa</w:t>
      </w:r>
      <w:proofErr w:type="spellEnd"/>
      <w:r w:rsidRPr="00F47A8B">
        <w:t xml:space="preserve">, </w:t>
      </w:r>
      <w:proofErr w:type="spellStart"/>
      <w:r w:rsidRPr="00F47A8B">
        <w:t>por</w:t>
      </w:r>
      <w:proofErr w:type="spellEnd"/>
      <w:r w:rsidRPr="00F47A8B">
        <w:t xml:space="preserve"> la </w:t>
      </w:r>
      <w:proofErr w:type="spellStart"/>
      <w:r w:rsidRPr="00F47A8B">
        <w:t>que</w:t>
      </w:r>
      <w:proofErr w:type="spellEnd"/>
      <w:r w:rsidRPr="00F47A8B">
        <w:t xml:space="preserve"> se </w:t>
      </w:r>
      <w:proofErr w:type="spellStart"/>
      <w:r w:rsidRPr="00F47A8B">
        <w:t>establece</w:t>
      </w:r>
      <w:proofErr w:type="spellEnd"/>
      <w:r w:rsidRPr="00F47A8B">
        <w:t xml:space="preserve"> la </w:t>
      </w:r>
      <w:proofErr w:type="spellStart"/>
      <w:r w:rsidRPr="00F47A8B">
        <w:t>Estrategia</w:t>
      </w:r>
      <w:proofErr w:type="spellEnd"/>
      <w:r w:rsidRPr="00F47A8B">
        <w:t xml:space="preserve"> de </w:t>
      </w:r>
      <w:proofErr w:type="spellStart"/>
      <w:r w:rsidRPr="00F47A8B">
        <w:t>Explotación</w:t>
      </w:r>
      <w:proofErr w:type="spellEnd"/>
      <w:r w:rsidRPr="00F47A8B">
        <w:t xml:space="preserve"> de la Nube </w:t>
      </w:r>
      <w:proofErr w:type="spellStart"/>
      <w:r w:rsidRPr="00F47A8B">
        <w:t>en</w:t>
      </w:r>
      <w:proofErr w:type="spellEnd"/>
      <w:r w:rsidRPr="00F47A8B">
        <w:t xml:space="preserve"> </w:t>
      </w:r>
      <w:proofErr w:type="spellStart"/>
      <w:r w:rsidRPr="00F47A8B">
        <w:t>el</w:t>
      </w:r>
      <w:proofErr w:type="spellEnd"/>
      <w:r w:rsidRPr="00F47A8B">
        <w:t xml:space="preserve"> </w:t>
      </w:r>
      <w:proofErr w:type="spellStart"/>
      <w:r w:rsidRPr="00F47A8B">
        <w:t>Ministerio</w:t>
      </w:r>
      <w:proofErr w:type="spellEnd"/>
      <w:r w:rsidRPr="00F47A8B">
        <w:t xml:space="preserve"> de </w:t>
      </w:r>
      <w:proofErr w:type="spellStart"/>
      <w:r w:rsidRPr="00F47A8B">
        <w:t>Defensa</w:t>
      </w:r>
      <w:proofErr w:type="spellEnd"/>
      <w:r w:rsidRPr="00F47A8B">
        <w:t xml:space="preserve">. </w:t>
      </w:r>
      <w:proofErr w:type="spellStart"/>
      <w:r w:rsidRPr="00F47A8B">
        <w:t>Boletín</w:t>
      </w:r>
      <w:proofErr w:type="spellEnd"/>
      <w:r w:rsidRPr="00F47A8B">
        <w:t xml:space="preserve"> </w:t>
      </w:r>
      <w:proofErr w:type="spellStart"/>
      <w:r w:rsidRPr="00F47A8B">
        <w:t>Oficial</w:t>
      </w:r>
      <w:proofErr w:type="spellEnd"/>
      <w:r w:rsidRPr="00F47A8B">
        <w:t xml:space="preserve"> del </w:t>
      </w:r>
      <w:proofErr w:type="spellStart"/>
      <w:r w:rsidRPr="00F47A8B">
        <w:t>Ministerio</w:t>
      </w:r>
      <w:proofErr w:type="spellEnd"/>
      <w:r w:rsidRPr="00F47A8B">
        <w:t xml:space="preserve"> De </w:t>
      </w:r>
      <w:proofErr w:type="spellStart"/>
      <w:r w:rsidRPr="00F47A8B">
        <w:t>Defensa</w:t>
      </w:r>
      <w:proofErr w:type="spellEnd"/>
      <w:r w:rsidRPr="00F47A8B">
        <w:t>.</w:t>
      </w:r>
      <w:r>
        <w:t xml:space="preserve"> Gob.es. </w:t>
      </w:r>
      <w:proofErr w:type="spellStart"/>
      <w:r w:rsidR="00082ABF">
        <w:t>Recuperado</w:t>
      </w:r>
      <w:proofErr w:type="spellEnd"/>
      <w:r w:rsidR="00082ABF">
        <w:t xml:space="preserve"> </w:t>
      </w:r>
      <w:proofErr w:type="spellStart"/>
      <w:r w:rsidR="00082ABF">
        <w:t>el</w:t>
      </w:r>
      <w:proofErr w:type="spellEnd"/>
      <w:r w:rsidR="00082ABF">
        <w:t xml:space="preserve"> </w:t>
      </w:r>
      <w:r>
        <w:t xml:space="preserve">15 de </w:t>
      </w:r>
      <w:proofErr w:type="spellStart"/>
      <w:r>
        <w:t>enero</w:t>
      </w:r>
      <w:proofErr w:type="spellEnd"/>
      <w:r>
        <w:t xml:space="preserve"> de 2026. Disponible </w:t>
      </w:r>
      <w:proofErr w:type="spellStart"/>
      <w:r>
        <w:t>en</w:t>
      </w:r>
      <w:proofErr w:type="spellEnd"/>
      <w:r>
        <w:t>:</w:t>
      </w:r>
      <w:r w:rsidR="004C1A13">
        <w:t xml:space="preserve"> </w:t>
      </w:r>
      <w:r w:rsidR="00B24040">
        <w:t xml:space="preserve"> </w:t>
      </w:r>
      <w:r w:rsidR="00B24040" w:rsidRPr="00B24040">
        <w:t>https://publicaciones.defensa.gob.es/media/downloadable/files/links/b/o/bod_20210528_1_al.pdf</w:t>
      </w:r>
      <w:r w:rsidR="00B24040">
        <w:t xml:space="preserve"> </w:t>
      </w:r>
    </w:p>
    <w:p w14:paraId="046FAE9C" w14:textId="5ECD60AA" w:rsidR="00F935C5" w:rsidRDefault="00F935C5" w:rsidP="006D1DC8">
      <w:pPr>
        <w:pStyle w:val="ReferencesSection"/>
      </w:pPr>
      <w:proofErr w:type="spellStart"/>
      <w:r>
        <w:t>Resolución</w:t>
      </w:r>
      <w:proofErr w:type="spellEnd"/>
      <w:r>
        <w:t xml:space="preserve"> 307/08135/21, de 17 de mayo de 2021, de la </w:t>
      </w:r>
      <w:proofErr w:type="spellStart"/>
      <w:r>
        <w:t>Secretaria</w:t>
      </w:r>
      <w:proofErr w:type="spellEnd"/>
      <w:r>
        <w:t xml:space="preserve"> de Estado de </w:t>
      </w:r>
      <w:proofErr w:type="spellStart"/>
      <w:r>
        <w:t>Defensa</w:t>
      </w:r>
      <w:proofErr w:type="spellEnd"/>
      <w:r>
        <w:t xml:space="preserve">, </w:t>
      </w:r>
      <w:proofErr w:type="spellStart"/>
      <w:r>
        <w:t>por</w:t>
      </w:r>
      <w:proofErr w:type="spellEnd"/>
      <w:r>
        <w:t xml:space="preserve"> la </w:t>
      </w:r>
      <w:proofErr w:type="spellStart"/>
      <w:r>
        <w:t>que</w:t>
      </w:r>
      <w:proofErr w:type="spellEnd"/>
      <w:r>
        <w:t xml:space="preserve"> se </w:t>
      </w:r>
      <w:proofErr w:type="spellStart"/>
      <w:r>
        <w:t>establece</w:t>
      </w:r>
      <w:proofErr w:type="spellEnd"/>
      <w:r>
        <w:t xml:space="preserve"> la </w:t>
      </w:r>
      <w:proofErr w:type="spellStart"/>
      <w:r>
        <w:t>Estrategia</w:t>
      </w:r>
      <w:proofErr w:type="spellEnd"/>
      <w:r>
        <w:t xml:space="preserve"> de </w:t>
      </w:r>
      <w:proofErr w:type="spellStart"/>
      <w:r>
        <w:t>comunicaciones</w:t>
      </w:r>
      <w:proofErr w:type="spellEnd"/>
      <w:r>
        <w:t xml:space="preserve"> </w:t>
      </w:r>
      <w:proofErr w:type="spellStart"/>
      <w:r>
        <w:t>móviles</w:t>
      </w:r>
      <w:proofErr w:type="spellEnd"/>
      <w:r>
        <w:t xml:space="preserve"> de quinta </w:t>
      </w:r>
      <w:proofErr w:type="spellStart"/>
      <w:r>
        <w:t>generación</w:t>
      </w:r>
      <w:proofErr w:type="spellEnd"/>
      <w:r>
        <w:t xml:space="preserve"> (</w:t>
      </w:r>
      <w:proofErr w:type="spellStart"/>
      <w:r>
        <w:t>Estrategia</w:t>
      </w:r>
      <w:proofErr w:type="spellEnd"/>
      <w:r>
        <w:t xml:space="preserve"> 5G) del </w:t>
      </w:r>
      <w:proofErr w:type="spellStart"/>
      <w:r>
        <w:t>Ministerio</w:t>
      </w:r>
      <w:proofErr w:type="spellEnd"/>
      <w:r>
        <w:t xml:space="preserve"> de </w:t>
      </w:r>
      <w:proofErr w:type="spellStart"/>
      <w:r>
        <w:t>Defensa</w:t>
      </w:r>
      <w:proofErr w:type="spellEnd"/>
      <w:r>
        <w:t xml:space="preserve">. </w:t>
      </w:r>
      <w:proofErr w:type="spellStart"/>
      <w:r>
        <w:t>Boletín</w:t>
      </w:r>
      <w:proofErr w:type="spellEnd"/>
      <w:r>
        <w:t xml:space="preserve"> </w:t>
      </w:r>
      <w:proofErr w:type="spellStart"/>
      <w:r>
        <w:t>Oficial</w:t>
      </w:r>
      <w:proofErr w:type="spellEnd"/>
      <w:r>
        <w:t xml:space="preserve"> del </w:t>
      </w:r>
      <w:proofErr w:type="spellStart"/>
      <w:r>
        <w:t>Ministerio</w:t>
      </w:r>
      <w:proofErr w:type="spellEnd"/>
      <w:r>
        <w:t xml:space="preserve"> </w:t>
      </w:r>
      <w:r w:rsidR="006D1DC8">
        <w:t>d</w:t>
      </w:r>
      <w:r>
        <w:t xml:space="preserve">e </w:t>
      </w:r>
      <w:proofErr w:type="spellStart"/>
      <w:r>
        <w:t>Defensa</w:t>
      </w:r>
      <w:proofErr w:type="spellEnd"/>
      <w:r>
        <w:t xml:space="preserve">. Gob.es. </w:t>
      </w:r>
      <w:proofErr w:type="spellStart"/>
      <w:r>
        <w:t>Recuperado</w:t>
      </w:r>
      <w:proofErr w:type="spellEnd"/>
      <w:r>
        <w:t xml:space="preserve"> </w:t>
      </w:r>
      <w:proofErr w:type="spellStart"/>
      <w:r>
        <w:t>el</w:t>
      </w:r>
      <w:proofErr w:type="spellEnd"/>
      <w:r>
        <w:t xml:space="preserve"> 29 de </w:t>
      </w:r>
      <w:proofErr w:type="spellStart"/>
      <w:r>
        <w:t>noviembre</w:t>
      </w:r>
      <w:proofErr w:type="spellEnd"/>
      <w:r>
        <w:t xml:space="preserve"> de 2025, de</w:t>
      </w:r>
    </w:p>
    <w:p w14:paraId="268ED956" w14:textId="4B8A3697" w:rsidR="00F935C5" w:rsidRDefault="00F935C5" w:rsidP="006D1DC8">
      <w:pPr>
        <w:pStyle w:val="ReferencesSection"/>
        <w:numPr>
          <w:ilvl w:val="0"/>
          <w:numId w:val="0"/>
        </w:numPr>
        <w:ind w:left="360"/>
      </w:pPr>
      <w:r>
        <w:t>https://publicaciones.defensa.gob.es/media/downloadable/files/links/b/o/bod_20210528_1_al.pdf</w:t>
      </w:r>
    </w:p>
    <w:p w14:paraId="5E9F8734" w14:textId="0C7CB094" w:rsidR="00F47A8B" w:rsidRDefault="00EB65E5" w:rsidP="006D1DC8">
      <w:pPr>
        <w:pStyle w:val="ReferencesSection"/>
      </w:pPr>
      <w:r w:rsidRPr="00EB65E5">
        <w:t>AXELOS. (2019). Course book. ITIL Foundation: ITIL 4 Edition r.1.1.0 Copyright 2019 AXELOS. ISBN 9780113316076</w:t>
      </w:r>
    </w:p>
    <w:sectPr w:rsidR="00F47A8B" w:rsidSect="007322A7">
      <w:type w:val="continuous"/>
      <w:pgSz w:w="11906" w:h="16838"/>
      <w:pgMar w:top="1021" w:right="1077" w:bottom="1021" w:left="107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F5753E" w14:textId="77777777" w:rsidR="00423240" w:rsidRDefault="00423240" w:rsidP="0084620C">
      <w:r>
        <w:separator/>
      </w:r>
    </w:p>
  </w:endnote>
  <w:endnote w:type="continuationSeparator" w:id="0">
    <w:p w14:paraId="3BA58F5B" w14:textId="77777777" w:rsidR="00423240" w:rsidRDefault="00423240" w:rsidP="008462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8E67D" w14:textId="77777777" w:rsidR="007322A7" w:rsidRDefault="007322A7">
    <w:pPr>
      <w:pStyle w:val="Piedepgina"/>
    </w:pPr>
  </w:p>
  <w:p w14:paraId="576F104B" w14:textId="77777777" w:rsidR="007322A7" w:rsidRDefault="007322A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7A27C7" w14:textId="77777777" w:rsidR="00423240" w:rsidRDefault="00423240" w:rsidP="0084620C">
      <w:r>
        <w:separator/>
      </w:r>
    </w:p>
  </w:footnote>
  <w:footnote w:type="continuationSeparator" w:id="0">
    <w:p w14:paraId="4CE8BD69" w14:textId="77777777" w:rsidR="00423240" w:rsidRDefault="00423240" w:rsidP="008462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9C21C" w14:textId="7A9CF995" w:rsidR="005C34BB" w:rsidRPr="00880A2D" w:rsidRDefault="00A5389A" w:rsidP="00D72969">
    <w:pPr>
      <w:pStyle w:val="Encabezado"/>
      <w:spacing w:after="240"/>
      <w:ind w:firstLine="357"/>
      <w:jc w:val="right"/>
    </w:pPr>
    <w:r>
      <w:t>Máster Universitario en Dirección TIC para la Defensa, 20</w:t>
    </w:r>
    <w:r w:rsidR="00F47A8B">
      <w:t>25-</w:t>
    </w:r>
    <w:r>
      <w:t>20</w:t>
    </w:r>
    <w:r w:rsidR="00F47A8B">
      <w:t>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386E1" w14:textId="0E8CBEC2" w:rsidR="00847C88" w:rsidRDefault="00A5389A" w:rsidP="00D72969">
    <w:pPr>
      <w:pStyle w:val="Encabezado"/>
      <w:spacing w:after="240"/>
      <w:ind w:firstLine="357"/>
    </w:pPr>
    <w:r>
      <w:t>Máster Universitario en Dirección TIC para la Defensa, 20</w:t>
    </w:r>
    <w:r w:rsidR="00F47A8B">
      <w:t>25</w:t>
    </w:r>
    <w:r>
      <w:t>-20</w:t>
    </w:r>
    <w:r w:rsidR="00F47A8B">
      <w:t>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F6CEB"/>
    <w:multiLevelType w:val="multilevel"/>
    <w:tmpl w:val="A1BEA10A"/>
    <w:lvl w:ilvl="0">
      <w:start w:val="1"/>
      <w:numFmt w:val="decimal"/>
      <w:pStyle w:val="Section"/>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1" w15:restartNumberingAfterBreak="0">
    <w:nsid w:val="03377BA6"/>
    <w:multiLevelType w:val="hybridMultilevel"/>
    <w:tmpl w:val="E27EA79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34A28C0"/>
    <w:multiLevelType w:val="hybridMultilevel"/>
    <w:tmpl w:val="2026B164"/>
    <w:lvl w:ilvl="0" w:tplc="0C0A0011">
      <w:start w:val="1"/>
      <w:numFmt w:val="decimal"/>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3" w15:restartNumberingAfterBreak="0">
    <w:nsid w:val="16F56D24"/>
    <w:multiLevelType w:val="hybridMultilevel"/>
    <w:tmpl w:val="E27EA79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5AE2C6D"/>
    <w:multiLevelType w:val="hybridMultilevel"/>
    <w:tmpl w:val="E3A24F9E"/>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5" w15:restartNumberingAfterBreak="0">
    <w:nsid w:val="2CD63E03"/>
    <w:multiLevelType w:val="hybridMultilevel"/>
    <w:tmpl w:val="F814C808"/>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4E5065A"/>
    <w:multiLevelType w:val="hybridMultilevel"/>
    <w:tmpl w:val="E27EA79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84A3206"/>
    <w:multiLevelType w:val="multilevel"/>
    <w:tmpl w:val="D84A2988"/>
    <w:lvl w:ilvl="0">
      <w:start w:val="1"/>
      <w:numFmt w:val="decimal"/>
      <w:lvlText w:val="%1."/>
      <w:lvlJc w:val="left"/>
      <w:pPr>
        <w:ind w:left="360" w:hanging="360"/>
      </w:pPr>
    </w:lvl>
    <w:lvl w:ilvl="1">
      <w:start w:val="1"/>
      <w:numFmt w:val="decimal"/>
      <w:pStyle w:val="Subsection"/>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A6E59A8"/>
    <w:multiLevelType w:val="hybridMultilevel"/>
    <w:tmpl w:val="E27EA79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08B4FCD"/>
    <w:multiLevelType w:val="hybridMultilevel"/>
    <w:tmpl w:val="D4CC2FE2"/>
    <w:lvl w:ilvl="0" w:tplc="59603006">
      <w:start w:val="1"/>
      <w:numFmt w:val="lowerLetter"/>
      <w:pStyle w:val="Numberedlist"/>
      <w:lvlText w:val="(%1)"/>
      <w:lvlJc w:val="left"/>
      <w:pPr>
        <w:ind w:left="720" w:hanging="360"/>
      </w:pPr>
      <w:rPr>
        <w:rFonts w:eastAsiaTheme="minorHAnsi"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418E1BF8"/>
    <w:multiLevelType w:val="hybridMultilevel"/>
    <w:tmpl w:val="B7A23482"/>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4AB55959"/>
    <w:multiLevelType w:val="hybridMultilevel"/>
    <w:tmpl w:val="E27EA79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F617FF4"/>
    <w:multiLevelType w:val="hybridMultilevel"/>
    <w:tmpl w:val="B1826F6E"/>
    <w:lvl w:ilvl="0" w:tplc="4790C5F2">
      <w:start w:val="1"/>
      <w:numFmt w:val="decimal"/>
      <w:pStyle w:val="ReferencesSection"/>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3" w15:restartNumberingAfterBreak="0">
    <w:nsid w:val="503A131B"/>
    <w:multiLevelType w:val="hybridMultilevel"/>
    <w:tmpl w:val="57BE98F2"/>
    <w:lvl w:ilvl="0" w:tplc="0C0A000F">
      <w:start w:val="1"/>
      <w:numFmt w:val="decimal"/>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4" w15:restartNumberingAfterBreak="0">
    <w:nsid w:val="5FA20D15"/>
    <w:multiLevelType w:val="hybridMultilevel"/>
    <w:tmpl w:val="B60C6FA4"/>
    <w:lvl w:ilvl="0" w:tplc="D1BA5288">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77222FED"/>
    <w:multiLevelType w:val="hybridMultilevel"/>
    <w:tmpl w:val="E27EA79C"/>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682972139">
    <w:abstractNumId w:val="9"/>
  </w:num>
  <w:num w:numId="2" w16cid:durableId="211813420">
    <w:abstractNumId w:val="4"/>
  </w:num>
  <w:num w:numId="3" w16cid:durableId="1434856899">
    <w:abstractNumId w:val="12"/>
  </w:num>
  <w:num w:numId="4" w16cid:durableId="9138359">
    <w:abstractNumId w:val="0"/>
  </w:num>
  <w:num w:numId="5" w16cid:durableId="503514765">
    <w:abstractNumId w:val="14"/>
  </w:num>
  <w:num w:numId="6" w16cid:durableId="788356077">
    <w:abstractNumId w:val="13"/>
  </w:num>
  <w:num w:numId="7" w16cid:durableId="534583092">
    <w:abstractNumId w:val="2"/>
  </w:num>
  <w:num w:numId="8" w16cid:durableId="1298144061">
    <w:abstractNumId w:val="7"/>
  </w:num>
  <w:num w:numId="9" w16cid:durableId="101385348">
    <w:abstractNumId w:val="12"/>
  </w:num>
  <w:num w:numId="10" w16cid:durableId="182940667">
    <w:abstractNumId w:val="7"/>
  </w:num>
  <w:num w:numId="11" w16cid:durableId="97441035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7334022">
    <w:abstractNumId w:val="7"/>
    <w:lvlOverride w:ilvl="0">
      <w:startOverride w:val="2"/>
    </w:lvlOverride>
    <w:lvlOverride w:ilvl="1">
      <w:startOverride w:val="1"/>
    </w:lvlOverride>
  </w:num>
  <w:num w:numId="13" w16cid:durableId="1553807254">
    <w:abstractNumId w:val="7"/>
    <w:lvlOverride w:ilvl="0">
      <w:startOverride w:val="2"/>
    </w:lvlOverride>
    <w:lvlOverride w:ilvl="1">
      <w:startOverride w:val="1"/>
    </w:lvlOverride>
  </w:num>
  <w:num w:numId="14" w16cid:durableId="389768695">
    <w:abstractNumId w:val="7"/>
  </w:num>
  <w:num w:numId="15" w16cid:durableId="142360037">
    <w:abstractNumId w:val="12"/>
  </w:num>
  <w:num w:numId="16" w16cid:durableId="957830238">
    <w:abstractNumId w:val="15"/>
  </w:num>
  <w:num w:numId="17" w16cid:durableId="1836416924">
    <w:abstractNumId w:val="7"/>
  </w:num>
  <w:num w:numId="18" w16cid:durableId="1143959194">
    <w:abstractNumId w:val="8"/>
  </w:num>
  <w:num w:numId="19" w16cid:durableId="766343528">
    <w:abstractNumId w:val="10"/>
  </w:num>
  <w:num w:numId="20" w16cid:durableId="1727029585">
    <w:abstractNumId w:val="11"/>
  </w:num>
  <w:num w:numId="21" w16cid:durableId="1003358016">
    <w:abstractNumId w:val="3"/>
  </w:num>
  <w:num w:numId="22" w16cid:durableId="1711609315">
    <w:abstractNumId w:val="6"/>
  </w:num>
  <w:num w:numId="23" w16cid:durableId="1380475462">
    <w:abstractNumId w:val="1"/>
  </w:num>
  <w:num w:numId="24" w16cid:durableId="155222474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09"/>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A1NzE3MTQzsjAyNTFW0lEKTi0uzszPAykwrAUAX4snciwAAAA="/>
  </w:docVars>
  <w:rsids>
    <w:rsidRoot w:val="005400AF"/>
    <w:rsid w:val="00032F0C"/>
    <w:rsid w:val="00045755"/>
    <w:rsid w:val="00045C76"/>
    <w:rsid w:val="00065448"/>
    <w:rsid w:val="00077E09"/>
    <w:rsid w:val="00082ABF"/>
    <w:rsid w:val="00092C47"/>
    <w:rsid w:val="000957BC"/>
    <w:rsid w:val="000C1E43"/>
    <w:rsid w:val="00101198"/>
    <w:rsid w:val="00114AB1"/>
    <w:rsid w:val="00153D6B"/>
    <w:rsid w:val="00156627"/>
    <w:rsid w:val="0017565C"/>
    <w:rsid w:val="001D2ECD"/>
    <w:rsid w:val="002003D1"/>
    <w:rsid w:val="00206AA4"/>
    <w:rsid w:val="00256014"/>
    <w:rsid w:val="00283604"/>
    <w:rsid w:val="00286ECC"/>
    <w:rsid w:val="00291D1F"/>
    <w:rsid w:val="002A2A67"/>
    <w:rsid w:val="002A5D81"/>
    <w:rsid w:val="002C1AC4"/>
    <w:rsid w:val="002F76C1"/>
    <w:rsid w:val="003067C8"/>
    <w:rsid w:val="00325842"/>
    <w:rsid w:val="0034191E"/>
    <w:rsid w:val="003613D0"/>
    <w:rsid w:val="00386E80"/>
    <w:rsid w:val="003A48F6"/>
    <w:rsid w:val="003C6C02"/>
    <w:rsid w:val="0040249B"/>
    <w:rsid w:val="00402635"/>
    <w:rsid w:val="0041237B"/>
    <w:rsid w:val="00423240"/>
    <w:rsid w:val="0043406A"/>
    <w:rsid w:val="00437214"/>
    <w:rsid w:val="004374FA"/>
    <w:rsid w:val="0045074D"/>
    <w:rsid w:val="00465791"/>
    <w:rsid w:val="00474822"/>
    <w:rsid w:val="00487CEB"/>
    <w:rsid w:val="00495DEF"/>
    <w:rsid w:val="004B7826"/>
    <w:rsid w:val="004C16C3"/>
    <w:rsid w:val="004C19C3"/>
    <w:rsid w:val="004C1A13"/>
    <w:rsid w:val="004F400A"/>
    <w:rsid w:val="004F5186"/>
    <w:rsid w:val="004F7A60"/>
    <w:rsid w:val="00510C64"/>
    <w:rsid w:val="005175D6"/>
    <w:rsid w:val="00517D2B"/>
    <w:rsid w:val="005214FF"/>
    <w:rsid w:val="005400AF"/>
    <w:rsid w:val="005420CA"/>
    <w:rsid w:val="005422ED"/>
    <w:rsid w:val="00555491"/>
    <w:rsid w:val="00584310"/>
    <w:rsid w:val="005A78EC"/>
    <w:rsid w:val="005B45F7"/>
    <w:rsid w:val="005C34BB"/>
    <w:rsid w:val="005C4205"/>
    <w:rsid w:val="005D4BF3"/>
    <w:rsid w:val="005E71A1"/>
    <w:rsid w:val="005E7AEF"/>
    <w:rsid w:val="005F15C2"/>
    <w:rsid w:val="005F7B8B"/>
    <w:rsid w:val="00605A8A"/>
    <w:rsid w:val="00606F36"/>
    <w:rsid w:val="00612D70"/>
    <w:rsid w:val="006143F5"/>
    <w:rsid w:val="00621FB5"/>
    <w:rsid w:val="00642EDF"/>
    <w:rsid w:val="006650EA"/>
    <w:rsid w:val="006672C4"/>
    <w:rsid w:val="00667E74"/>
    <w:rsid w:val="00672CEF"/>
    <w:rsid w:val="0067593D"/>
    <w:rsid w:val="00685534"/>
    <w:rsid w:val="00687FAB"/>
    <w:rsid w:val="006A3888"/>
    <w:rsid w:val="006A6F47"/>
    <w:rsid w:val="006B285A"/>
    <w:rsid w:val="006D1DC8"/>
    <w:rsid w:val="006F0BF9"/>
    <w:rsid w:val="00707116"/>
    <w:rsid w:val="00711136"/>
    <w:rsid w:val="00712A1F"/>
    <w:rsid w:val="007322A7"/>
    <w:rsid w:val="00737D86"/>
    <w:rsid w:val="00742B43"/>
    <w:rsid w:val="0078663B"/>
    <w:rsid w:val="007A09CD"/>
    <w:rsid w:val="007C3640"/>
    <w:rsid w:val="007C7AB0"/>
    <w:rsid w:val="007D70AF"/>
    <w:rsid w:val="007F21B9"/>
    <w:rsid w:val="008015BD"/>
    <w:rsid w:val="00833A40"/>
    <w:rsid w:val="00836583"/>
    <w:rsid w:val="00845723"/>
    <w:rsid w:val="0084615E"/>
    <w:rsid w:val="0084620C"/>
    <w:rsid w:val="00847C88"/>
    <w:rsid w:val="008617D1"/>
    <w:rsid w:val="008622F7"/>
    <w:rsid w:val="00870DD8"/>
    <w:rsid w:val="00880A2D"/>
    <w:rsid w:val="00885A03"/>
    <w:rsid w:val="008977A6"/>
    <w:rsid w:val="008B5F70"/>
    <w:rsid w:val="008C145A"/>
    <w:rsid w:val="008C5FE0"/>
    <w:rsid w:val="008D14DE"/>
    <w:rsid w:val="008D5B80"/>
    <w:rsid w:val="008F0942"/>
    <w:rsid w:val="0090042D"/>
    <w:rsid w:val="009270BA"/>
    <w:rsid w:val="00931BBE"/>
    <w:rsid w:val="00937626"/>
    <w:rsid w:val="009445FC"/>
    <w:rsid w:val="00947419"/>
    <w:rsid w:val="00956B45"/>
    <w:rsid w:val="00963C5E"/>
    <w:rsid w:val="0099391A"/>
    <w:rsid w:val="009949A0"/>
    <w:rsid w:val="00995D37"/>
    <w:rsid w:val="009B7C8C"/>
    <w:rsid w:val="009D286D"/>
    <w:rsid w:val="00A13F37"/>
    <w:rsid w:val="00A21DA0"/>
    <w:rsid w:val="00A3170D"/>
    <w:rsid w:val="00A4407A"/>
    <w:rsid w:val="00A52552"/>
    <w:rsid w:val="00A5389A"/>
    <w:rsid w:val="00A84115"/>
    <w:rsid w:val="00AA0490"/>
    <w:rsid w:val="00AB1C8B"/>
    <w:rsid w:val="00AC56C4"/>
    <w:rsid w:val="00AE23C4"/>
    <w:rsid w:val="00AF5461"/>
    <w:rsid w:val="00B00141"/>
    <w:rsid w:val="00B14B3E"/>
    <w:rsid w:val="00B24040"/>
    <w:rsid w:val="00B44B48"/>
    <w:rsid w:val="00B52690"/>
    <w:rsid w:val="00B549A9"/>
    <w:rsid w:val="00B61705"/>
    <w:rsid w:val="00B6749B"/>
    <w:rsid w:val="00B75E4C"/>
    <w:rsid w:val="00B75E90"/>
    <w:rsid w:val="00B80A59"/>
    <w:rsid w:val="00B82EB3"/>
    <w:rsid w:val="00B83498"/>
    <w:rsid w:val="00B94F89"/>
    <w:rsid w:val="00BB41D4"/>
    <w:rsid w:val="00BD2F3F"/>
    <w:rsid w:val="00BE1C8B"/>
    <w:rsid w:val="00BF00BB"/>
    <w:rsid w:val="00C06047"/>
    <w:rsid w:val="00C15E7A"/>
    <w:rsid w:val="00C24955"/>
    <w:rsid w:val="00C25749"/>
    <w:rsid w:val="00C72F90"/>
    <w:rsid w:val="00C90DC5"/>
    <w:rsid w:val="00C9755F"/>
    <w:rsid w:val="00C977FB"/>
    <w:rsid w:val="00CA2876"/>
    <w:rsid w:val="00CA32C3"/>
    <w:rsid w:val="00CA5DC2"/>
    <w:rsid w:val="00CB0B78"/>
    <w:rsid w:val="00CB2CBB"/>
    <w:rsid w:val="00CB4DD7"/>
    <w:rsid w:val="00CE3E0A"/>
    <w:rsid w:val="00D14E6F"/>
    <w:rsid w:val="00D37469"/>
    <w:rsid w:val="00D52167"/>
    <w:rsid w:val="00D5671E"/>
    <w:rsid w:val="00D72969"/>
    <w:rsid w:val="00D73FBC"/>
    <w:rsid w:val="00D75992"/>
    <w:rsid w:val="00D832A4"/>
    <w:rsid w:val="00D86568"/>
    <w:rsid w:val="00DA42D5"/>
    <w:rsid w:val="00DB7A45"/>
    <w:rsid w:val="00DC5060"/>
    <w:rsid w:val="00DD122C"/>
    <w:rsid w:val="00DD3462"/>
    <w:rsid w:val="00DE71C1"/>
    <w:rsid w:val="00DF407C"/>
    <w:rsid w:val="00DF6E64"/>
    <w:rsid w:val="00E04724"/>
    <w:rsid w:val="00E36D42"/>
    <w:rsid w:val="00E7189F"/>
    <w:rsid w:val="00E84C08"/>
    <w:rsid w:val="00EB4524"/>
    <w:rsid w:val="00EB65E5"/>
    <w:rsid w:val="00EC27F9"/>
    <w:rsid w:val="00EC6B44"/>
    <w:rsid w:val="00ED67B4"/>
    <w:rsid w:val="00EE5DD9"/>
    <w:rsid w:val="00EF3C1C"/>
    <w:rsid w:val="00F073DE"/>
    <w:rsid w:val="00F11D94"/>
    <w:rsid w:val="00F1635C"/>
    <w:rsid w:val="00F16AC1"/>
    <w:rsid w:val="00F175A4"/>
    <w:rsid w:val="00F33554"/>
    <w:rsid w:val="00F44377"/>
    <w:rsid w:val="00F47A8B"/>
    <w:rsid w:val="00F51B08"/>
    <w:rsid w:val="00F67061"/>
    <w:rsid w:val="00F71B34"/>
    <w:rsid w:val="00F935C5"/>
    <w:rsid w:val="00F95A2C"/>
    <w:rsid w:val="00FA6A70"/>
    <w:rsid w:val="00FC0F8B"/>
    <w:rsid w:val="00FD56AB"/>
    <w:rsid w:val="00FF20F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1ED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237B"/>
    <w:pPr>
      <w:spacing w:line="276" w:lineRule="auto"/>
      <w:ind w:firstLine="360"/>
      <w:jc w:val="both"/>
    </w:pPr>
    <w:rPr>
      <w:rFonts w:ascii="Times New Roman" w:hAnsi="Times New Roman" w:cs="Times New Roman"/>
      <w:sz w:val="24"/>
      <w:szCs w:val="24"/>
    </w:rPr>
  </w:style>
  <w:style w:type="paragraph" w:styleId="Ttulo1">
    <w:name w:val="heading 1"/>
    <w:basedOn w:val="Authors"/>
    <w:next w:val="Normal"/>
    <w:link w:val="Ttulo1Car"/>
    <w:uiPriority w:val="9"/>
    <w:qFormat/>
    <w:rsid w:val="00092C47"/>
    <w:pPr>
      <w:outlineLvl w:val="0"/>
    </w:pPr>
    <w:rPr>
      <w:sz w:val="36"/>
      <w:lang w:val="es-ES"/>
    </w:rPr>
  </w:style>
  <w:style w:type="paragraph" w:styleId="Ttulo2">
    <w:name w:val="heading 2"/>
    <w:basedOn w:val="Normal"/>
    <w:link w:val="Ttulo2Car"/>
    <w:uiPriority w:val="9"/>
    <w:qFormat/>
    <w:rsid w:val="00CB2CBB"/>
    <w:pPr>
      <w:spacing w:before="100" w:beforeAutospacing="1" w:after="100" w:afterAutospacing="1" w:line="240" w:lineRule="auto"/>
      <w:outlineLvl w:val="1"/>
    </w:pPr>
    <w:rPr>
      <w:rFonts w:eastAsia="Times New Roman"/>
      <w:b/>
      <w:bCs/>
      <w:sz w:val="36"/>
      <w:szCs w:val="36"/>
      <w:lang w:eastAsia="es-ES"/>
    </w:rPr>
  </w:style>
  <w:style w:type="paragraph" w:styleId="Ttulo3">
    <w:name w:val="heading 3"/>
    <w:basedOn w:val="Normal"/>
    <w:next w:val="Normal"/>
    <w:link w:val="Ttulo3Car"/>
    <w:uiPriority w:val="9"/>
    <w:semiHidden/>
    <w:unhideWhenUsed/>
    <w:qFormat/>
    <w:rsid w:val="00F16AC1"/>
    <w:pPr>
      <w:keepNext/>
      <w:keepLines/>
      <w:spacing w:before="200" w:after="0"/>
      <w:outlineLvl w:val="2"/>
    </w:pPr>
    <w:rPr>
      <w:rFonts w:asciiTheme="majorHAnsi" w:eastAsiaTheme="majorEastAsia" w:hAnsiTheme="majorHAnsi" w:cstheme="majorBidi"/>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F51B08"/>
    <w:rPr>
      <w:color w:val="808080"/>
    </w:rPr>
  </w:style>
  <w:style w:type="paragraph" w:styleId="Prrafodelista">
    <w:name w:val="List Paragraph"/>
    <w:basedOn w:val="Normal"/>
    <w:link w:val="PrrafodelistaCar"/>
    <w:uiPriority w:val="34"/>
    <w:qFormat/>
    <w:rsid w:val="00510C64"/>
    <w:pPr>
      <w:ind w:left="720"/>
      <w:contextualSpacing/>
    </w:pPr>
  </w:style>
  <w:style w:type="paragraph" w:styleId="Textodeglobo">
    <w:name w:val="Balloon Text"/>
    <w:basedOn w:val="Normal"/>
    <w:link w:val="TextodegloboCar"/>
    <w:uiPriority w:val="99"/>
    <w:semiHidden/>
    <w:unhideWhenUsed/>
    <w:rsid w:val="00B44B4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44B48"/>
    <w:rPr>
      <w:rFonts w:ascii="Tahoma" w:hAnsi="Tahoma" w:cs="Tahoma"/>
      <w:sz w:val="16"/>
      <w:szCs w:val="16"/>
    </w:rPr>
  </w:style>
  <w:style w:type="character" w:customStyle="1" w:styleId="Ttulo3Car">
    <w:name w:val="Título 3 Car"/>
    <w:basedOn w:val="Fuentedeprrafopredeter"/>
    <w:link w:val="Ttulo3"/>
    <w:uiPriority w:val="9"/>
    <w:semiHidden/>
    <w:rsid w:val="00F16AC1"/>
    <w:rPr>
      <w:rFonts w:asciiTheme="majorHAnsi" w:eastAsiaTheme="majorEastAsia" w:hAnsiTheme="majorHAnsi" w:cstheme="majorBidi"/>
      <w:b/>
      <w:bCs/>
      <w:sz w:val="24"/>
      <w:szCs w:val="24"/>
    </w:rPr>
  </w:style>
  <w:style w:type="paragraph" w:styleId="Descripcin">
    <w:name w:val="caption"/>
    <w:basedOn w:val="Normal"/>
    <w:next w:val="Normal"/>
    <w:uiPriority w:val="35"/>
    <w:unhideWhenUsed/>
    <w:qFormat/>
    <w:rsid w:val="00FD56AB"/>
    <w:pPr>
      <w:spacing w:before="60" w:after="200" w:line="240" w:lineRule="auto"/>
      <w:ind w:firstLine="357"/>
      <w:jc w:val="center"/>
    </w:pPr>
    <w:rPr>
      <w:bCs/>
      <w:sz w:val="22"/>
      <w:szCs w:val="18"/>
    </w:rPr>
  </w:style>
  <w:style w:type="paragraph" w:customStyle="1" w:styleId="Centeredequation">
    <w:name w:val="Centered equation"/>
    <w:basedOn w:val="Normal"/>
    <w:link w:val="CenteredequationCar"/>
    <w:qFormat/>
    <w:rsid w:val="00833A40"/>
    <w:pPr>
      <w:spacing w:after="0"/>
    </w:pPr>
    <w:rPr>
      <w:rFonts w:ascii="Cambria Math" w:hAnsi="Cambria Math"/>
      <w:i/>
      <w:iCs/>
      <w:sz w:val="22"/>
      <w:szCs w:val="22"/>
    </w:rPr>
  </w:style>
  <w:style w:type="paragraph" w:customStyle="1" w:styleId="TableCaption">
    <w:name w:val="Table Caption"/>
    <w:basedOn w:val="Normal"/>
    <w:link w:val="TableCaptionCar"/>
    <w:qFormat/>
    <w:rsid w:val="00F175A4"/>
    <w:pPr>
      <w:spacing w:after="200" w:line="240" w:lineRule="auto"/>
      <w:jc w:val="center"/>
    </w:pPr>
    <w:rPr>
      <w:bCs/>
      <w:szCs w:val="18"/>
    </w:rPr>
  </w:style>
  <w:style w:type="character" w:customStyle="1" w:styleId="TableCaptionCar">
    <w:name w:val="Table Caption Car"/>
    <w:basedOn w:val="Fuentedeprrafopredeter"/>
    <w:link w:val="TableCaption"/>
    <w:rsid w:val="00F175A4"/>
    <w:rPr>
      <w:rFonts w:cs="Times New Roman"/>
      <w:bCs/>
      <w:sz w:val="24"/>
      <w:szCs w:val="18"/>
    </w:rPr>
  </w:style>
  <w:style w:type="character" w:customStyle="1" w:styleId="CenteredequationCar">
    <w:name w:val="Centered equation Car"/>
    <w:basedOn w:val="Fuentedeprrafopredeter"/>
    <w:link w:val="Centeredequation"/>
    <w:rsid w:val="00833A40"/>
    <w:rPr>
      <w:rFonts w:ascii="Cambria Math" w:hAnsi="Cambria Math" w:cs="Times New Roman"/>
      <w:i/>
      <w:iCs/>
    </w:rPr>
  </w:style>
  <w:style w:type="character" w:styleId="Refdenotaalfinal">
    <w:name w:val="endnote reference"/>
    <w:basedOn w:val="Fuentedeprrafopredeter"/>
    <w:uiPriority w:val="99"/>
    <w:semiHidden/>
    <w:unhideWhenUsed/>
    <w:rsid w:val="008977A6"/>
    <w:rPr>
      <w:vertAlign w:val="superscript"/>
    </w:rPr>
  </w:style>
  <w:style w:type="paragraph" w:customStyle="1" w:styleId="ReferencesSection">
    <w:name w:val="References_Section"/>
    <w:basedOn w:val="Normal"/>
    <w:autoRedefine/>
    <w:rsid w:val="006D1DC8"/>
    <w:pPr>
      <w:numPr>
        <w:numId w:val="3"/>
      </w:numPr>
      <w:spacing w:after="0"/>
      <w:ind w:left="357" w:hanging="357"/>
    </w:pPr>
    <w:rPr>
      <w:lang w:val="en-US"/>
    </w:rPr>
  </w:style>
  <w:style w:type="character" w:customStyle="1" w:styleId="Ttulo2Car">
    <w:name w:val="Título 2 Car"/>
    <w:basedOn w:val="Fuentedeprrafopredeter"/>
    <w:link w:val="Ttulo2"/>
    <w:uiPriority w:val="9"/>
    <w:rsid w:val="00CB2CBB"/>
    <w:rPr>
      <w:rFonts w:ascii="Times New Roman" w:eastAsia="Times New Roman" w:hAnsi="Times New Roman" w:cs="Times New Roman"/>
      <w:b/>
      <w:bCs/>
      <w:sz w:val="36"/>
      <w:szCs w:val="36"/>
      <w:lang w:eastAsia="es-ES"/>
    </w:rPr>
  </w:style>
  <w:style w:type="character" w:styleId="Textoennegrita">
    <w:name w:val="Strong"/>
    <w:basedOn w:val="Fuentedeprrafopredeter"/>
    <w:uiPriority w:val="22"/>
    <w:qFormat/>
    <w:rsid w:val="00CB2CBB"/>
    <w:rPr>
      <w:b/>
      <w:bCs/>
    </w:rPr>
  </w:style>
  <w:style w:type="paragraph" w:customStyle="1" w:styleId="Abstract">
    <w:name w:val="Abstract"/>
    <w:basedOn w:val="Normal"/>
    <w:rsid w:val="0041237B"/>
    <w:pPr>
      <w:spacing w:before="240" w:after="0" w:line="340" w:lineRule="atLeast"/>
      <w:ind w:left="510" w:right="510"/>
    </w:pPr>
    <w:rPr>
      <w:rFonts w:eastAsia="Times New Roman"/>
      <w:color w:val="000000"/>
      <w:szCs w:val="20"/>
      <w:lang w:val="en-US" w:eastAsia="de-DE"/>
    </w:rPr>
  </w:style>
  <w:style w:type="paragraph" w:customStyle="1" w:styleId="Address">
    <w:name w:val="Address"/>
    <w:basedOn w:val="Normal"/>
    <w:rsid w:val="0041237B"/>
    <w:pPr>
      <w:spacing w:before="240" w:after="0" w:line="340" w:lineRule="atLeast"/>
    </w:pPr>
    <w:rPr>
      <w:rFonts w:eastAsia="Times New Roman"/>
      <w:color w:val="000000"/>
      <w:szCs w:val="20"/>
      <w:lang w:val="en-US" w:eastAsia="de-DE"/>
    </w:rPr>
  </w:style>
  <w:style w:type="paragraph" w:customStyle="1" w:styleId="Authors">
    <w:name w:val="Authors"/>
    <w:basedOn w:val="Normal"/>
    <w:next w:val="Address"/>
    <w:autoRedefine/>
    <w:rsid w:val="0041237B"/>
    <w:pPr>
      <w:spacing w:before="240" w:after="240" w:line="340" w:lineRule="atLeast"/>
    </w:pPr>
    <w:rPr>
      <w:rFonts w:eastAsia="Times New Roman"/>
      <w:b/>
      <w:color w:val="000000"/>
      <w:szCs w:val="20"/>
      <w:lang w:val="it-IT" w:eastAsia="de-DE"/>
    </w:rPr>
  </w:style>
  <w:style w:type="paragraph" w:customStyle="1" w:styleId="Mline2">
    <w:name w:val="M_line2"/>
    <w:basedOn w:val="Normal"/>
    <w:next w:val="Section"/>
    <w:rsid w:val="0017565C"/>
    <w:pPr>
      <w:pBdr>
        <w:bottom w:val="single" w:sz="6" w:space="1" w:color="auto"/>
      </w:pBdr>
      <w:spacing w:after="480" w:line="340" w:lineRule="atLeast"/>
    </w:pPr>
    <w:rPr>
      <w:rFonts w:eastAsia="Times New Roman"/>
      <w:color w:val="000000"/>
      <w:szCs w:val="20"/>
      <w:lang w:val="en-US" w:eastAsia="de-DE"/>
    </w:rPr>
  </w:style>
  <w:style w:type="paragraph" w:customStyle="1" w:styleId="Mline1">
    <w:name w:val="M_line1"/>
    <w:basedOn w:val="Mline2"/>
    <w:next w:val="Abstract"/>
    <w:rsid w:val="0017565C"/>
    <w:pPr>
      <w:spacing w:after="0"/>
    </w:pPr>
  </w:style>
  <w:style w:type="character" w:customStyle="1" w:styleId="Ttulo1Car">
    <w:name w:val="Título 1 Car"/>
    <w:basedOn w:val="Fuentedeprrafopredeter"/>
    <w:link w:val="Ttulo1"/>
    <w:uiPriority w:val="9"/>
    <w:rsid w:val="00092C47"/>
    <w:rPr>
      <w:rFonts w:ascii="Times New Roman" w:eastAsia="Times New Roman" w:hAnsi="Times New Roman" w:cs="Times New Roman"/>
      <w:b/>
      <w:color w:val="000000"/>
      <w:sz w:val="36"/>
      <w:szCs w:val="20"/>
      <w:lang w:eastAsia="de-DE"/>
    </w:rPr>
  </w:style>
  <w:style w:type="paragraph" w:customStyle="1" w:styleId="Ttulo10">
    <w:name w:val="Título1"/>
    <w:basedOn w:val="Ttulo1"/>
    <w:next w:val="Authors"/>
    <w:link w:val="TitleCar"/>
    <w:qFormat/>
    <w:rsid w:val="0041237B"/>
    <w:pPr>
      <w:jc w:val="center"/>
    </w:pPr>
  </w:style>
  <w:style w:type="paragraph" w:customStyle="1" w:styleId="Section">
    <w:name w:val="Section"/>
    <w:basedOn w:val="Prrafodelista"/>
    <w:next w:val="Normal"/>
    <w:link w:val="SectionCar"/>
    <w:qFormat/>
    <w:rsid w:val="005F15C2"/>
    <w:pPr>
      <w:numPr>
        <w:numId w:val="4"/>
      </w:numPr>
    </w:pPr>
    <w:rPr>
      <w:b/>
    </w:rPr>
  </w:style>
  <w:style w:type="character" w:customStyle="1" w:styleId="TitleCar">
    <w:name w:val="Title Car"/>
    <w:basedOn w:val="Ttulo1Car"/>
    <w:link w:val="Ttulo10"/>
    <w:rsid w:val="0041237B"/>
    <w:rPr>
      <w:rFonts w:ascii="Times New Roman" w:eastAsia="Times New Roman" w:hAnsi="Times New Roman" w:cs="Times New Roman"/>
      <w:b/>
      <w:color w:val="000000"/>
      <w:sz w:val="36"/>
      <w:szCs w:val="20"/>
      <w:lang w:eastAsia="de-DE"/>
    </w:rPr>
  </w:style>
  <w:style w:type="table" w:styleId="Tablaconcuadrcula">
    <w:name w:val="Table Grid"/>
    <w:basedOn w:val="Tablanormal"/>
    <w:uiPriority w:val="39"/>
    <w:rsid w:val="00BD2F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basedOn w:val="Fuentedeprrafopredeter"/>
    <w:link w:val="Prrafodelista"/>
    <w:uiPriority w:val="34"/>
    <w:rsid w:val="0034191E"/>
  </w:style>
  <w:style w:type="character" w:customStyle="1" w:styleId="SectionCar">
    <w:name w:val="Section Car"/>
    <w:basedOn w:val="PrrafodelistaCar"/>
    <w:link w:val="Section"/>
    <w:rsid w:val="005F15C2"/>
    <w:rPr>
      <w:rFonts w:cs="Times New Roman"/>
      <w:b/>
      <w:sz w:val="24"/>
      <w:szCs w:val="24"/>
    </w:rPr>
  </w:style>
  <w:style w:type="paragraph" w:customStyle="1" w:styleId="Equationnumber">
    <w:name w:val="Equation number"/>
    <w:basedOn w:val="Normal"/>
    <w:link w:val="EquationnumberCar"/>
    <w:qFormat/>
    <w:rsid w:val="00F175A4"/>
    <w:pPr>
      <w:spacing w:after="200" w:line="240" w:lineRule="auto"/>
      <w:jc w:val="right"/>
    </w:pPr>
    <w:rPr>
      <w:b/>
      <w:bCs/>
    </w:rPr>
  </w:style>
  <w:style w:type="paragraph" w:customStyle="1" w:styleId="Numberedlist">
    <w:name w:val="Numbered list"/>
    <w:basedOn w:val="Prrafodelista"/>
    <w:link w:val="NumberedlistCar"/>
    <w:qFormat/>
    <w:rsid w:val="00065448"/>
    <w:pPr>
      <w:numPr>
        <w:numId w:val="1"/>
      </w:numPr>
    </w:pPr>
  </w:style>
  <w:style w:type="character" w:customStyle="1" w:styleId="EquationnumberCar">
    <w:name w:val="Equation number Car"/>
    <w:basedOn w:val="Fuentedeprrafopredeter"/>
    <w:link w:val="Equationnumber"/>
    <w:rsid w:val="00F175A4"/>
    <w:rPr>
      <w:rFonts w:ascii="Times New Roman" w:hAnsi="Times New Roman" w:cs="Times New Roman"/>
      <w:b/>
      <w:bCs/>
      <w:sz w:val="24"/>
      <w:szCs w:val="24"/>
    </w:rPr>
  </w:style>
  <w:style w:type="paragraph" w:styleId="Encabezado">
    <w:name w:val="header"/>
    <w:basedOn w:val="Normal"/>
    <w:link w:val="EncabezadoCar"/>
    <w:uiPriority w:val="99"/>
    <w:unhideWhenUsed/>
    <w:rsid w:val="00667E74"/>
    <w:pPr>
      <w:tabs>
        <w:tab w:val="center" w:pos="4252"/>
        <w:tab w:val="right" w:pos="8504"/>
      </w:tabs>
      <w:spacing w:after="0" w:line="240" w:lineRule="auto"/>
    </w:pPr>
  </w:style>
  <w:style w:type="character" w:customStyle="1" w:styleId="NumberedlistCar">
    <w:name w:val="Numbered list Car"/>
    <w:basedOn w:val="PrrafodelistaCar"/>
    <w:link w:val="Numberedlist"/>
    <w:rsid w:val="00065448"/>
    <w:rPr>
      <w:rFonts w:cs="Times New Roman"/>
      <w:sz w:val="24"/>
      <w:szCs w:val="24"/>
    </w:rPr>
  </w:style>
  <w:style w:type="character" w:customStyle="1" w:styleId="EncabezadoCar">
    <w:name w:val="Encabezado Car"/>
    <w:basedOn w:val="Fuentedeprrafopredeter"/>
    <w:link w:val="Encabezado"/>
    <w:uiPriority w:val="99"/>
    <w:rsid w:val="00667E74"/>
  </w:style>
  <w:style w:type="paragraph" w:styleId="Piedepgina">
    <w:name w:val="footer"/>
    <w:basedOn w:val="Normal"/>
    <w:link w:val="PiedepginaCar"/>
    <w:uiPriority w:val="99"/>
    <w:unhideWhenUsed/>
    <w:rsid w:val="00667E7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667E74"/>
  </w:style>
  <w:style w:type="paragraph" w:customStyle="1" w:styleId="CenteredFigure">
    <w:name w:val="Centered Figure"/>
    <w:basedOn w:val="Normal"/>
    <w:link w:val="CenteredFigureCar"/>
    <w:qFormat/>
    <w:rsid w:val="0084620C"/>
    <w:pPr>
      <w:jc w:val="center"/>
    </w:pPr>
    <w:rPr>
      <w:noProof/>
      <w:lang w:eastAsia="es-ES"/>
    </w:rPr>
  </w:style>
  <w:style w:type="paragraph" w:customStyle="1" w:styleId="Reftitle">
    <w:name w:val="Ref title"/>
    <w:basedOn w:val="Normal"/>
    <w:link w:val="ReftitleCar"/>
    <w:qFormat/>
    <w:rsid w:val="0084620C"/>
    <w:rPr>
      <w:b/>
      <w:lang w:val="en-US"/>
    </w:rPr>
  </w:style>
  <w:style w:type="character" w:customStyle="1" w:styleId="CenteredFigureCar">
    <w:name w:val="Centered Figure Car"/>
    <w:basedOn w:val="Fuentedeprrafopredeter"/>
    <w:link w:val="CenteredFigure"/>
    <w:rsid w:val="0084620C"/>
    <w:rPr>
      <w:rFonts w:cs="Times New Roman"/>
      <w:noProof/>
      <w:sz w:val="24"/>
      <w:szCs w:val="24"/>
      <w:lang w:eastAsia="es-ES"/>
    </w:rPr>
  </w:style>
  <w:style w:type="paragraph" w:customStyle="1" w:styleId="Subsection">
    <w:name w:val="Subsection"/>
    <w:basedOn w:val="Prrafodelista"/>
    <w:link w:val="SubsectionCar"/>
    <w:qFormat/>
    <w:rsid w:val="00FD56AB"/>
    <w:pPr>
      <w:numPr>
        <w:ilvl w:val="1"/>
        <w:numId w:val="8"/>
      </w:numPr>
    </w:pPr>
    <w:rPr>
      <w:i/>
    </w:rPr>
  </w:style>
  <w:style w:type="character" w:customStyle="1" w:styleId="ReftitleCar">
    <w:name w:val="Ref title Car"/>
    <w:basedOn w:val="Fuentedeprrafopredeter"/>
    <w:link w:val="Reftitle"/>
    <w:rsid w:val="0084620C"/>
    <w:rPr>
      <w:rFonts w:cs="Times New Roman"/>
      <w:b/>
      <w:sz w:val="24"/>
      <w:szCs w:val="24"/>
      <w:lang w:val="en-US"/>
    </w:rPr>
  </w:style>
  <w:style w:type="character" w:customStyle="1" w:styleId="SubsectionCar">
    <w:name w:val="Subsection Car"/>
    <w:basedOn w:val="PrrafodelistaCar"/>
    <w:link w:val="Subsection"/>
    <w:rsid w:val="00FD56AB"/>
    <w:rPr>
      <w:rFonts w:ascii="Times New Roman" w:hAnsi="Times New Roman" w:cs="Times New Roman"/>
      <w:i/>
      <w:sz w:val="24"/>
      <w:szCs w:val="24"/>
    </w:rPr>
  </w:style>
  <w:style w:type="paragraph" w:customStyle="1" w:styleId="Tableformat">
    <w:name w:val="Table format"/>
    <w:basedOn w:val="Normal"/>
    <w:link w:val="TableformatCar"/>
    <w:qFormat/>
    <w:rsid w:val="00065448"/>
    <w:pPr>
      <w:ind w:firstLine="357"/>
    </w:pPr>
    <w:rPr>
      <w:sz w:val="22"/>
      <w:szCs w:val="22"/>
    </w:rPr>
  </w:style>
  <w:style w:type="character" w:styleId="Refdecomentario">
    <w:name w:val="annotation reference"/>
    <w:basedOn w:val="Fuentedeprrafopredeter"/>
    <w:uiPriority w:val="99"/>
    <w:semiHidden/>
    <w:unhideWhenUsed/>
    <w:rsid w:val="00065448"/>
    <w:rPr>
      <w:sz w:val="16"/>
      <w:szCs w:val="16"/>
    </w:rPr>
  </w:style>
  <w:style w:type="character" w:customStyle="1" w:styleId="TableformatCar">
    <w:name w:val="Table format Car"/>
    <w:basedOn w:val="Fuentedeprrafopredeter"/>
    <w:link w:val="Tableformat"/>
    <w:rsid w:val="00065448"/>
    <w:rPr>
      <w:rFonts w:cs="Times New Roman"/>
    </w:rPr>
  </w:style>
  <w:style w:type="paragraph" w:styleId="Textocomentario">
    <w:name w:val="annotation text"/>
    <w:basedOn w:val="Normal"/>
    <w:link w:val="TextocomentarioCar"/>
    <w:uiPriority w:val="99"/>
    <w:semiHidden/>
    <w:unhideWhenUsed/>
    <w:rsid w:val="00065448"/>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065448"/>
    <w:rPr>
      <w:rFonts w:cs="Times New Roman"/>
      <w:sz w:val="20"/>
      <w:szCs w:val="20"/>
    </w:rPr>
  </w:style>
  <w:style w:type="paragraph" w:styleId="Asuntodelcomentario">
    <w:name w:val="annotation subject"/>
    <w:basedOn w:val="Textocomentario"/>
    <w:next w:val="Textocomentario"/>
    <w:link w:val="AsuntodelcomentarioCar"/>
    <w:uiPriority w:val="99"/>
    <w:semiHidden/>
    <w:unhideWhenUsed/>
    <w:rsid w:val="00065448"/>
    <w:rPr>
      <w:b/>
      <w:bCs/>
    </w:rPr>
  </w:style>
  <w:style w:type="character" w:customStyle="1" w:styleId="AsuntodelcomentarioCar">
    <w:name w:val="Asunto del comentario Car"/>
    <w:basedOn w:val="TextocomentarioCar"/>
    <w:link w:val="Asuntodelcomentario"/>
    <w:uiPriority w:val="99"/>
    <w:semiHidden/>
    <w:rsid w:val="00065448"/>
    <w:rPr>
      <w:rFonts w:cs="Times New Roman"/>
      <w:b/>
      <w:bCs/>
      <w:sz w:val="20"/>
      <w:szCs w:val="20"/>
    </w:rPr>
  </w:style>
  <w:style w:type="character" w:styleId="Hipervnculo">
    <w:name w:val="Hyperlink"/>
    <w:basedOn w:val="Fuentedeprrafopredeter"/>
    <w:uiPriority w:val="99"/>
    <w:unhideWhenUsed/>
    <w:rsid w:val="00F47A8B"/>
    <w:rPr>
      <w:color w:val="0563C1" w:themeColor="hyperlink"/>
      <w:u w:val="single"/>
    </w:rPr>
  </w:style>
  <w:style w:type="character" w:styleId="Mencinsinresolver">
    <w:name w:val="Unresolved Mention"/>
    <w:basedOn w:val="Fuentedeprrafopredeter"/>
    <w:uiPriority w:val="99"/>
    <w:semiHidden/>
    <w:unhideWhenUsed/>
    <w:rsid w:val="00F47A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87344">
      <w:bodyDiv w:val="1"/>
      <w:marLeft w:val="0"/>
      <w:marRight w:val="0"/>
      <w:marTop w:val="0"/>
      <w:marBottom w:val="0"/>
      <w:divBdr>
        <w:top w:val="none" w:sz="0" w:space="0" w:color="auto"/>
        <w:left w:val="none" w:sz="0" w:space="0" w:color="auto"/>
        <w:bottom w:val="none" w:sz="0" w:space="0" w:color="auto"/>
        <w:right w:val="none" w:sz="0" w:space="0" w:color="auto"/>
      </w:divBdr>
    </w:div>
    <w:div w:id="72165489">
      <w:bodyDiv w:val="1"/>
      <w:marLeft w:val="0"/>
      <w:marRight w:val="0"/>
      <w:marTop w:val="0"/>
      <w:marBottom w:val="0"/>
      <w:divBdr>
        <w:top w:val="none" w:sz="0" w:space="0" w:color="auto"/>
        <w:left w:val="none" w:sz="0" w:space="0" w:color="auto"/>
        <w:bottom w:val="none" w:sz="0" w:space="0" w:color="auto"/>
        <w:right w:val="none" w:sz="0" w:space="0" w:color="auto"/>
      </w:divBdr>
    </w:div>
    <w:div w:id="350108991">
      <w:bodyDiv w:val="1"/>
      <w:marLeft w:val="0"/>
      <w:marRight w:val="0"/>
      <w:marTop w:val="0"/>
      <w:marBottom w:val="0"/>
      <w:divBdr>
        <w:top w:val="none" w:sz="0" w:space="0" w:color="auto"/>
        <w:left w:val="none" w:sz="0" w:space="0" w:color="auto"/>
        <w:bottom w:val="none" w:sz="0" w:space="0" w:color="auto"/>
        <w:right w:val="none" w:sz="0" w:space="0" w:color="auto"/>
      </w:divBdr>
      <w:divsChild>
        <w:div w:id="1866670910">
          <w:marLeft w:val="0"/>
          <w:marRight w:val="0"/>
          <w:marTop w:val="0"/>
          <w:marBottom w:val="0"/>
          <w:divBdr>
            <w:top w:val="none" w:sz="0" w:space="0" w:color="auto"/>
            <w:left w:val="none" w:sz="0" w:space="0" w:color="auto"/>
            <w:bottom w:val="none" w:sz="0" w:space="0" w:color="auto"/>
            <w:right w:val="none" w:sz="0" w:space="0" w:color="auto"/>
          </w:divBdr>
        </w:div>
      </w:divsChild>
    </w:div>
    <w:div w:id="429206537">
      <w:bodyDiv w:val="1"/>
      <w:marLeft w:val="0"/>
      <w:marRight w:val="0"/>
      <w:marTop w:val="0"/>
      <w:marBottom w:val="0"/>
      <w:divBdr>
        <w:top w:val="none" w:sz="0" w:space="0" w:color="auto"/>
        <w:left w:val="none" w:sz="0" w:space="0" w:color="auto"/>
        <w:bottom w:val="none" w:sz="0" w:space="0" w:color="auto"/>
        <w:right w:val="none" w:sz="0" w:space="0" w:color="auto"/>
      </w:divBdr>
      <w:divsChild>
        <w:div w:id="1744251334">
          <w:marLeft w:val="0"/>
          <w:marRight w:val="0"/>
          <w:marTop w:val="0"/>
          <w:marBottom w:val="0"/>
          <w:divBdr>
            <w:top w:val="none" w:sz="0" w:space="0" w:color="auto"/>
            <w:left w:val="none" w:sz="0" w:space="0" w:color="auto"/>
            <w:bottom w:val="none" w:sz="0" w:space="0" w:color="auto"/>
            <w:right w:val="none" w:sz="0" w:space="0" w:color="auto"/>
          </w:divBdr>
        </w:div>
      </w:divsChild>
    </w:div>
    <w:div w:id="585578477">
      <w:bodyDiv w:val="1"/>
      <w:marLeft w:val="0"/>
      <w:marRight w:val="0"/>
      <w:marTop w:val="0"/>
      <w:marBottom w:val="0"/>
      <w:divBdr>
        <w:top w:val="none" w:sz="0" w:space="0" w:color="auto"/>
        <w:left w:val="none" w:sz="0" w:space="0" w:color="auto"/>
        <w:bottom w:val="none" w:sz="0" w:space="0" w:color="auto"/>
        <w:right w:val="none" w:sz="0" w:space="0" w:color="auto"/>
      </w:divBdr>
    </w:div>
    <w:div w:id="1691758845">
      <w:bodyDiv w:val="1"/>
      <w:marLeft w:val="0"/>
      <w:marRight w:val="0"/>
      <w:marTop w:val="0"/>
      <w:marBottom w:val="0"/>
      <w:divBdr>
        <w:top w:val="none" w:sz="0" w:space="0" w:color="auto"/>
        <w:left w:val="none" w:sz="0" w:space="0" w:color="auto"/>
        <w:bottom w:val="none" w:sz="0" w:space="0" w:color="auto"/>
        <w:right w:val="none" w:sz="0" w:space="0" w:color="auto"/>
      </w:divBdr>
      <w:divsChild>
        <w:div w:id="872890299">
          <w:marLeft w:val="0"/>
          <w:marRight w:val="0"/>
          <w:marTop w:val="0"/>
          <w:marBottom w:val="0"/>
          <w:divBdr>
            <w:top w:val="none" w:sz="0" w:space="0" w:color="auto"/>
            <w:left w:val="none" w:sz="0" w:space="0" w:color="auto"/>
            <w:bottom w:val="none" w:sz="0" w:space="0" w:color="auto"/>
            <w:right w:val="none" w:sz="0" w:space="0" w:color="auto"/>
          </w:divBdr>
          <w:divsChild>
            <w:div w:id="393702122">
              <w:marLeft w:val="0"/>
              <w:marRight w:val="0"/>
              <w:marTop w:val="0"/>
              <w:marBottom w:val="0"/>
              <w:divBdr>
                <w:top w:val="none" w:sz="0" w:space="0" w:color="auto"/>
                <w:left w:val="none" w:sz="0" w:space="0" w:color="auto"/>
                <w:bottom w:val="none" w:sz="0" w:space="0" w:color="auto"/>
                <w:right w:val="none" w:sz="0" w:space="0" w:color="auto"/>
              </w:divBdr>
            </w:div>
            <w:div w:id="723797461">
              <w:marLeft w:val="0"/>
              <w:marRight w:val="0"/>
              <w:marTop w:val="0"/>
              <w:marBottom w:val="0"/>
              <w:divBdr>
                <w:top w:val="none" w:sz="0" w:space="0" w:color="auto"/>
                <w:left w:val="none" w:sz="0" w:space="0" w:color="auto"/>
                <w:bottom w:val="none" w:sz="0" w:space="0" w:color="auto"/>
                <w:right w:val="none" w:sz="0" w:space="0" w:color="auto"/>
              </w:divBdr>
            </w:div>
          </w:divsChild>
        </w:div>
        <w:div w:id="2001808843">
          <w:marLeft w:val="0"/>
          <w:marRight w:val="0"/>
          <w:marTop w:val="0"/>
          <w:marBottom w:val="0"/>
          <w:divBdr>
            <w:top w:val="none" w:sz="0" w:space="0" w:color="auto"/>
            <w:left w:val="none" w:sz="0" w:space="0" w:color="auto"/>
            <w:bottom w:val="none" w:sz="0" w:space="0" w:color="auto"/>
            <w:right w:val="none" w:sz="0" w:space="0" w:color="auto"/>
          </w:divBdr>
          <w:divsChild>
            <w:div w:id="1419709684">
              <w:marLeft w:val="0"/>
              <w:marRight w:val="0"/>
              <w:marTop w:val="0"/>
              <w:marBottom w:val="0"/>
              <w:divBdr>
                <w:top w:val="none" w:sz="0" w:space="0" w:color="auto"/>
                <w:left w:val="none" w:sz="0" w:space="0" w:color="auto"/>
                <w:bottom w:val="none" w:sz="0" w:space="0" w:color="auto"/>
                <w:right w:val="none" w:sz="0" w:space="0" w:color="auto"/>
              </w:divBdr>
              <w:divsChild>
                <w:div w:id="2023974875">
                  <w:marLeft w:val="0"/>
                  <w:marRight w:val="0"/>
                  <w:marTop w:val="0"/>
                  <w:marBottom w:val="0"/>
                  <w:divBdr>
                    <w:top w:val="none" w:sz="0" w:space="0" w:color="auto"/>
                    <w:left w:val="none" w:sz="0" w:space="0" w:color="auto"/>
                    <w:bottom w:val="none" w:sz="0" w:space="0" w:color="auto"/>
                    <w:right w:val="none" w:sz="0" w:space="0" w:color="auto"/>
                  </w:divBdr>
                  <w:divsChild>
                    <w:div w:id="19342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0061319">
      <w:bodyDiv w:val="1"/>
      <w:marLeft w:val="0"/>
      <w:marRight w:val="0"/>
      <w:marTop w:val="0"/>
      <w:marBottom w:val="0"/>
      <w:divBdr>
        <w:top w:val="none" w:sz="0" w:space="0" w:color="auto"/>
        <w:left w:val="none" w:sz="0" w:space="0" w:color="auto"/>
        <w:bottom w:val="none" w:sz="0" w:space="0" w:color="auto"/>
        <w:right w:val="none" w:sz="0" w:space="0" w:color="auto"/>
      </w:divBdr>
      <w:divsChild>
        <w:div w:id="3412070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xmlns:b="http://schemas.openxmlformats.org/officeDocument/2006/bibliography" xmlns="http://schemas.openxmlformats.org/officeDocument/2006/bibliography">
    <b:Tag>MarcadorDePosición1</b:Tag>
    <b:RefOrder>1</b:RefOrder>
  </b:Source>
</b:Sourc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BD5F0BF0CAFE22408947237DDDFCB0B9" ma:contentTypeVersion="2" ma:contentTypeDescription="Crear nuevo documento." ma:contentTypeScope="" ma:versionID="231d0ecf5e51b8b4130938ddc7466111">
  <xsd:schema xmlns:xsd="http://www.w3.org/2001/XMLSchema" xmlns:xs="http://www.w3.org/2001/XMLSchema" xmlns:p="http://schemas.microsoft.com/office/2006/metadata/properties" xmlns:ns1="http://schemas.microsoft.com/sharepoint/v3" targetNamespace="http://schemas.microsoft.com/office/2006/metadata/properties" ma:root="true" ma:fieldsID="5081e6ca3dd88758eeb7d82f82783eaf"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Fecha de inicio programada" ma:internalName="PublishingStartDate">
      <xsd:simpleType>
        <xsd:restriction base="dms:Unknown"/>
      </xsd:simpleType>
    </xsd:element>
    <xsd:element name="PublishingExpirationDate" ma:index="9" nillable="true" ma:displayName="Fecha de finalización programada"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8ADD88E-A16C-474A-BF89-000FF6A6FA11}">
  <ds:schemaRefs>
    <ds:schemaRef ds:uri="http://schemas.openxmlformats.org/officeDocument/2006/bibliography"/>
  </ds:schemaRefs>
</ds:datastoreItem>
</file>

<file path=customXml/itemProps2.xml><?xml version="1.0" encoding="utf-8"?>
<ds:datastoreItem xmlns:ds="http://schemas.openxmlformats.org/officeDocument/2006/customXml" ds:itemID="{0C3109A9-4C51-4A38-AB01-F7C26F015ADE}">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7B4D07A7-34C3-4F5C-8EB4-2A6BE3A734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B07ABA6-A314-479C-8273-66B3A3F690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3313</Words>
  <Characters>18223</Characters>
  <Application>Microsoft Office Word</Application>
  <DocSecurity>0</DocSecurity>
  <Lines>151</Lines>
  <Paragraphs>42</Paragraphs>
  <ScaleCrop>false</ScaleCrop>
  <HeadingPairs>
    <vt:vector size="2" baseType="variant">
      <vt:variant>
        <vt:lpstr>Título</vt:lpstr>
      </vt:variant>
      <vt:variant>
        <vt:i4>1</vt:i4>
      </vt:variant>
    </vt:vector>
  </HeadingPairs>
  <TitlesOfParts>
    <vt:vector size="1" baseType="lpstr">
      <vt:lpstr>[Escriba aquí el título del trabajo]</vt:lpstr>
    </vt:vector>
  </TitlesOfParts>
  <LinksUpToDate>false</LinksUpToDate>
  <CharactersWithSpaces>21494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[Escriba aquí el título del trabajo]</dc:title>
  <dc:subject/>
  <dc:creator/>
  <cp:keywords/>
  <cp:lastModifiedBy/>
  <cp:revision>1</cp:revision>
  <dcterms:created xsi:type="dcterms:W3CDTF">2026-01-21T15:02:00Z</dcterms:created>
  <dcterms:modified xsi:type="dcterms:W3CDTF">2026-01-21T15:02:00Z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zotero-version="4.0.28"&gt;&lt;session id="AqnDUoRc"/&gt;&lt;style id="http://www.zotero.org/styles/vancouver" locale="en-US" hasBibliography="1" bibliographyStyleHasBeenSet="1"/&gt;&lt;prefs&gt;&lt;pref name="fieldType" value="Field"/&gt;&lt;pref name="storeRef</vt:lpwstr>
  </property>
  <property fmtid="{D5CDD505-2E9C-101B-9397-08002B2CF9AE}" pid="3" name="ZOTERO_PREF_2">
    <vt:lpwstr>erences" value="true"/&gt;&lt;pref name="automaticJournalAbbreviations" value=""/&gt;&lt;pref name="noteType" value=""/&gt;&lt;/prefs&gt;&lt;/data&gt;</vt:lpwstr>
  </property>
  <property fmtid="{D5CDD505-2E9C-101B-9397-08002B2CF9AE}" pid="4" name="ContentTypeId">
    <vt:lpwstr>0x010100BD5F0BF0CAFE22408947237DDDFCB0B9</vt:lpwstr>
  </property>
</Properties>
</file>