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CD18B" w14:textId="058EE832" w:rsidR="0017565C" w:rsidRPr="0041237B" w:rsidRDefault="00ED20DF" w:rsidP="0084620C">
      <w:pPr>
        <w:pStyle w:val="Ttulo10"/>
      </w:pPr>
      <w:bookmarkStart w:id="0" w:name="_Hlk219796003"/>
      <w:bookmarkEnd w:id="0"/>
      <w:r>
        <w:t>Red TCP/IP como Piedra angular para la articulación de comunicaciones en MDEF</w:t>
      </w:r>
    </w:p>
    <w:p w14:paraId="239F8EF9" w14:textId="1918257F" w:rsidR="0084615E" w:rsidRDefault="0084615E" w:rsidP="0084620C">
      <w:pPr>
        <w:pStyle w:val="Authors"/>
      </w:pPr>
      <w:r>
        <w:t xml:space="preserve">Autor: </w:t>
      </w:r>
      <w:r w:rsidR="00B05413">
        <w:t>Vinagre Parra, José</w:t>
      </w:r>
    </w:p>
    <w:p w14:paraId="3B3CB941" w14:textId="1FB04622" w:rsidR="0017565C" w:rsidRPr="0084615E" w:rsidRDefault="0084615E" w:rsidP="0084615E">
      <w:pPr>
        <w:pStyle w:val="Authors"/>
      </w:pPr>
      <w:r>
        <w:t xml:space="preserve">Director: </w:t>
      </w:r>
      <w:r w:rsidR="00B05413">
        <w:t>Troncoso Pastoriza, Francisco</w:t>
      </w:r>
    </w:p>
    <w:p w14:paraId="239BC171" w14:textId="77777777" w:rsidR="00833A40" w:rsidRPr="0041237B" w:rsidRDefault="00833A40" w:rsidP="00833A40">
      <w:pPr>
        <w:pStyle w:val="Address"/>
        <w:jc w:val="left"/>
        <w:rPr>
          <w:lang w:val="es-ES"/>
        </w:rPr>
        <w:sectPr w:rsidR="00833A40" w:rsidRPr="0041237B" w:rsidSect="005C34BB">
          <w:headerReference w:type="even" r:id="rId11"/>
          <w:headerReference w:type="default" r:id="rId12"/>
          <w:footerReference w:type="default" r:id="rId13"/>
          <w:pgSz w:w="11906" w:h="16838"/>
          <w:pgMar w:top="3119" w:right="1077" w:bottom="1021" w:left="1077" w:header="709" w:footer="709" w:gutter="0"/>
          <w:cols w:space="708"/>
          <w:titlePg/>
          <w:docGrid w:linePitch="360"/>
        </w:sectPr>
      </w:pPr>
    </w:p>
    <w:p w14:paraId="2958C2D3" w14:textId="41C78558" w:rsidR="003C6C02" w:rsidRPr="003C6C02" w:rsidRDefault="003C6C02" w:rsidP="003C6C02">
      <w:pPr>
        <w:pStyle w:val="Mline1"/>
        <w:pBdr>
          <w:bottom w:val="single" w:sz="6" w:space="9" w:color="auto"/>
        </w:pBdr>
        <w:rPr>
          <w:lang w:val="es-ES"/>
        </w:rPr>
      </w:pPr>
      <w:r>
        <w:rPr>
          <w:lang w:val="es-ES"/>
        </w:rPr>
        <w:t xml:space="preserve">Contacto: </w:t>
      </w:r>
      <w:r w:rsidR="00B05413">
        <w:rPr>
          <w:lang w:val="es-ES"/>
        </w:rPr>
        <w:t>jvinpar@ea.mde.es</w:t>
      </w:r>
    </w:p>
    <w:p w14:paraId="6F18AA4E" w14:textId="77777777" w:rsidR="00E102AE" w:rsidRDefault="00E102AE" w:rsidP="00987944">
      <w:pPr>
        <w:spacing w:after="0"/>
        <w:ind w:firstLine="0"/>
        <w:rPr>
          <w:b/>
        </w:rPr>
      </w:pPr>
    </w:p>
    <w:p w14:paraId="751B616C" w14:textId="0AEE0598" w:rsidR="00987944" w:rsidRPr="003C6626" w:rsidRDefault="00E04724" w:rsidP="00987944">
      <w:pPr>
        <w:spacing w:after="0"/>
        <w:ind w:firstLine="0"/>
      </w:pPr>
      <w:r>
        <w:rPr>
          <w:b/>
        </w:rPr>
        <w:t>Resumen</w:t>
      </w:r>
      <w:r w:rsidR="0017565C" w:rsidRPr="0041237B">
        <w:rPr>
          <w:b/>
        </w:rPr>
        <w:t>:</w:t>
      </w:r>
      <w:r w:rsidR="00987944">
        <w:rPr>
          <w:b/>
        </w:rPr>
        <w:t xml:space="preserve"> </w:t>
      </w:r>
      <w:r w:rsidR="00987944" w:rsidRPr="003C6626">
        <w:t xml:space="preserve">Este documento pretende analizar la </w:t>
      </w:r>
      <w:r w:rsidR="00987944" w:rsidRPr="00A37F77">
        <w:t xml:space="preserve">Infraestructura Integral de Información para la Defensa </w:t>
      </w:r>
      <w:r w:rsidR="00987944" w:rsidRPr="00CE5462">
        <w:rPr>
          <w:b/>
          <w:bCs/>
        </w:rPr>
        <w:t>(</w:t>
      </w:r>
      <w:r w:rsidR="00987944">
        <w:rPr>
          <w:b/>
          <w:bCs/>
        </w:rPr>
        <w:t xml:space="preserve">Red </w:t>
      </w:r>
      <w:r w:rsidR="00987944" w:rsidRPr="00CE5462">
        <w:rPr>
          <w:b/>
          <w:bCs/>
        </w:rPr>
        <w:t>I3D)</w:t>
      </w:r>
      <w:r w:rsidR="00987944" w:rsidRPr="003C6626">
        <w:t xml:space="preserve"> como </w:t>
      </w:r>
      <w:r w:rsidR="00987944">
        <w:t xml:space="preserve">una </w:t>
      </w:r>
      <w:r w:rsidR="00987944" w:rsidRPr="003C6626">
        <w:t xml:space="preserve">necesidad estratégica para superar la dualidad operativa que representaba mantener las redes </w:t>
      </w:r>
      <w:r w:rsidR="00987944" w:rsidRPr="00346E4B">
        <w:rPr>
          <w:b/>
          <w:bCs/>
        </w:rPr>
        <w:t>WAN PG</w:t>
      </w:r>
      <w:r w:rsidR="00987944" w:rsidRPr="003C6626">
        <w:t xml:space="preserve"> (propósito general/administrativa) e </w:t>
      </w:r>
      <w:r w:rsidR="00987944" w:rsidRPr="00346E4B">
        <w:rPr>
          <w:b/>
          <w:bCs/>
        </w:rPr>
        <w:t>IPC2</w:t>
      </w:r>
      <w:r w:rsidR="00987944" w:rsidRPr="003C6626">
        <w:t xml:space="preserve"> (mando y control) como infraestructuras paralelas y, a menudo, ineficientes. </w:t>
      </w:r>
      <w:r w:rsidR="00C649E1">
        <w:t>E</w:t>
      </w:r>
      <w:r w:rsidR="00987944" w:rsidRPr="003C6626">
        <w:t>sta nueva arquitectura es la convergencia total en un único tejido digital, donde la segregación de la información ya no depende de cables o infraestructuras físicas distintas, sino de una segmentación lógica y segura de nivel superior.</w:t>
      </w:r>
    </w:p>
    <w:p w14:paraId="4EDCB851" w14:textId="7AEFB9E1" w:rsidR="00987944" w:rsidRDefault="00987944" w:rsidP="00987944">
      <w:pPr>
        <w:spacing w:after="0"/>
        <w:ind w:firstLine="0"/>
      </w:pPr>
      <w:r>
        <w:t xml:space="preserve">      Con este propósito el documento se desarrolla</w:t>
      </w:r>
      <w:r w:rsidRPr="000647EC">
        <w:t xml:space="preserve"> analizando </w:t>
      </w:r>
      <w:r w:rsidRPr="00903D3F">
        <w:t>la Red IPC2, centrada</w:t>
      </w:r>
      <w:r w:rsidRPr="000647EC">
        <w:t xml:space="preserve"> en el protocolo de enrutamiento OSPF</w:t>
      </w:r>
      <w:r w:rsidRPr="00DE0112">
        <w:t xml:space="preserve"> y most</w:t>
      </w:r>
      <w:r w:rsidRPr="003C6626">
        <w:t xml:space="preserve">rando </w:t>
      </w:r>
      <w:r>
        <w:t xml:space="preserve">aún </w:t>
      </w:r>
      <w:r w:rsidRPr="003C6626">
        <w:t xml:space="preserve">fortalezas </w:t>
      </w:r>
      <w:r>
        <w:t xml:space="preserve">en determinadas necesidades de comunicaciones críticas, pero sufriendo </w:t>
      </w:r>
      <w:r w:rsidRPr="000647EC">
        <w:t xml:space="preserve">para estirar sus capacidades operativas ante la creciente demanda de datos. En contraste, se </w:t>
      </w:r>
      <w:r w:rsidRPr="00903D3F">
        <w:t>introduce la Red I3D, detallando</w:t>
      </w:r>
      <w:r w:rsidRPr="000647EC">
        <w:t xml:space="preserve"> la configuración de los equipos de Frontera, que actúan como puntos críticos de control y seguridad. Este bloque técnico no solo explica cómo se segmenta la red para evitar intrusiones, sino que también sirve de manual para el despliegue de las topologías más comunes en las sedes de Defensa.</w:t>
      </w:r>
    </w:p>
    <w:p w14:paraId="51AC2E8E" w14:textId="6FEC4C26" w:rsidR="00987944" w:rsidRDefault="00987944" w:rsidP="00987944">
      <w:pPr>
        <w:spacing w:after="0"/>
        <w:ind w:firstLine="0"/>
      </w:pPr>
      <w:r>
        <w:t xml:space="preserve">      Se </w:t>
      </w:r>
      <w:r w:rsidRPr="000647EC">
        <w:t>aborda la convergencia de estas redes con los sistemas de transporte</w:t>
      </w:r>
      <w:r w:rsidR="00C649E1">
        <w:t xml:space="preserve">: Terrestre y </w:t>
      </w:r>
      <w:r w:rsidR="009F3B94">
        <w:t>S</w:t>
      </w:r>
      <w:r w:rsidR="00C649E1">
        <w:t xml:space="preserve">atelital, que llevarán a una </w:t>
      </w:r>
      <w:r w:rsidRPr="003A6F57">
        <w:t>comparativa entre las redes obteniendo una serie de contrastes desde distintos puntos de vista</w:t>
      </w:r>
      <w:r w:rsidR="00C649E1">
        <w:t xml:space="preserve"> </w:t>
      </w:r>
      <w:r w:rsidR="009F3B94" w:rsidRPr="003A6F57">
        <w:t>como la seguridad de la red, la calidad de servicio, relación con los transportes terrestre y satélite, capaci</w:t>
      </w:r>
      <w:r w:rsidR="009F3B94">
        <w:t xml:space="preserve">dad </w:t>
      </w:r>
      <w:r w:rsidR="009F3B94" w:rsidRPr="003A6F57">
        <w:t>de ancho de banda y gestión de la red</w:t>
      </w:r>
      <w:r w:rsidR="009F3B94">
        <w:t>.</w:t>
      </w:r>
    </w:p>
    <w:p w14:paraId="02D93164" w14:textId="77777777" w:rsidR="00987944" w:rsidRDefault="00987944" w:rsidP="00987944">
      <w:pPr>
        <w:spacing w:after="0"/>
        <w:ind w:firstLine="0"/>
      </w:pPr>
      <w:r>
        <w:t xml:space="preserve">      Finalmente, se concluye con la idea de que l</w:t>
      </w:r>
      <w:r w:rsidRPr="001A107F">
        <w:t>a red I3D supera las limitaciones técnicas de la</w:t>
      </w:r>
      <w:r>
        <w:t xml:space="preserve"> red</w:t>
      </w:r>
      <w:r w:rsidRPr="001A107F">
        <w:t xml:space="preserve"> IPC2 al ofrecer una gestión integral y mayor ancho de banda. Su arquitectura robusta y segmentación lógica garantizan una seguridad superior, estableciéndose como la solución definitiva frente a los desafíos de la ciberdefensa moderna.</w:t>
      </w:r>
    </w:p>
    <w:p w14:paraId="364D2C7A" w14:textId="77777777" w:rsidR="00987944" w:rsidRDefault="00987944" w:rsidP="00987944">
      <w:pPr>
        <w:spacing w:after="0"/>
        <w:ind w:firstLine="0"/>
      </w:pPr>
    </w:p>
    <w:p w14:paraId="4EBCCC0F" w14:textId="61488618" w:rsidR="0017565C" w:rsidRPr="00D72969" w:rsidRDefault="00E04724" w:rsidP="00987944">
      <w:pPr>
        <w:spacing w:after="0"/>
        <w:ind w:firstLine="0"/>
      </w:pPr>
      <w:r w:rsidRPr="00D72969">
        <w:rPr>
          <w:b/>
        </w:rPr>
        <w:t>Palabras clave</w:t>
      </w:r>
      <w:r w:rsidR="0017565C" w:rsidRPr="00D72969">
        <w:rPr>
          <w:b/>
        </w:rPr>
        <w:t>:</w:t>
      </w:r>
      <w:r w:rsidR="00995D37" w:rsidRPr="00D72969">
        <w:t xml:space="preserve"> </w:t>
      </w:r>
      <w:r w:rsidR="00987944">
        <w:t>Direccionamiento IP, Red IPC2, Red I3D, SD-WAN, Túnel IPsec, DWDM</w:t>
      </w:r>
    </w:p>
    <w:p w14:paraId="3BED3A29" w14:textId="77777777" w:rsidR="0017565C" w:rsidRDefault="0017565C" w:rsidP="00987944">
      <w:pPr>
        <w:pStyle w:val="Mline2"/>
        <w:ind w:firstLine="0"/>
        <w:rPr>
          <w:lang w:val="es-ES"/>
        </w:rPr>
      </w:pPr>
    </w:p>
    <w:p w14:paraId="576F8907" w14:textId="77777777" w:rsidR="00DB3AE3" w:rsidRDefault="00DB3AE3" w:rsidP="00DB3AE3">
      <w:pPr>
        <w:pStyle w:val="Section"/>
        <w:numPr>
          <w:ilvl w:val="0"/>
          <w:numId w:val="0"/>
        </w:numPr>
        <w:rPr>
          <w:lang w:eastAsia="de-DE"/>
        </w:rPr>
      </w:pPr>
    </w:p>
    <w:p w14:paraId="340F4B44" w14:textId="77777777" w:rsidR="00DB3AE3" w:rsidRPr="00DB3AE3" w:rsidRDefault="00DB3AE3" w:rsidP="00DB3AE3">
      <w:pPr>
        <w:rPr>
          <w:lang w:eastAsia="de-DE"/>
        </w:rPr>
      </w:pPr>
    </w:p>
    <w:p w14:paraId="717067E7" w14:textId="77777777" w:rsidR="00E102AE" w:rsidRDefault="00E102AE" w:rsidP="00E102AE">
      <w:pPr>
        <w:pStyle w:val="Section"/>
        <w:numPr>
          <w:ilvl w:val="0"/>
          <w:numId w:val="0"/>
        </w:numPr>
        <w:ind w:left="360"/>
      </w:pPr>
    </w:p>
    <w:p w14:paraId="16DD0127" w14:textId="7C9B6B4D" w:rsidR="00156627" w:rsidRDefault="00A4407A" w:rsidP="00AA1B55">
      <w:pPr>
        <w:pStyle w:val="Section"/>
        <w:ind w:left="357"/>
        <w:contextualSpacing w:val="0"/>
      </w:pPr>
      <w:r w:rsidRPr="0041237B">
        <w:t>Introducción</w:t>
      </w:r>
    </w:p>
    <w:p w14:paraId="44033404" w14:textId="33EECDE4" w:rsidR="00ED20DF" w:rsidRPr="00ED20DF" w:rsidRDefault="00ED20DF" w:rsidP="00AA1B55">
      <w:pPr>
        <w:pStyle w:val="Section"/>
        <w:numPr>
          <w:ilvl w:val="0"/>
          <w:numId w:val="0"/>
        </w:numPr>
        <w:ind w:left="357" w:firstLine="349"/>
        <w:contextualSpacing w:val="0"/>
        <w:rPr>
          <w:b w:val="0"/>
          <w:bCs/>
        </w:rPr>
      </w:pPr>
      <w:r w:rsidRPr="00ED20DF">
        <w:rPr>
          <w:b w:val="0"/>
          <w:bCs/>
        </w:rPr>
        <w:t>El presente documento justifica la tecnología IP como el pilar fundamental de la comunicación moderna en las Fuerzas Armadas, superando sistemas analógicos y redes cerradas. El autor aporta una visión práctica y estratégica basada en su experiencia directa manteniendo la operatividad de las redes de Defensa y la Administración General del Estado. Este trabajo no solo busca sistematizar el conocimiento técnico personal, sino servir como una guía de consulta necesaria para afrontar los desafíos de seguridad y excelencia comunicativa que exigen las infraestructuras críticas actuales.</w:t>
      </w:r>
    </w:p>
    <w:p w14:paraId="48E17292" w14:textId="77777777" w:rsidR="00ED20DF" w:rsidRDefault="00ED20DF" w:rsidP="00AA1B55">
      <w:pPr>
        <w:pStyle w:val="Section"/>
        <w:numPr>
          <w:ilvl w:val="0"/>
          <w:numId w:val="0"/>
        </w:numPr>
        <w:ind w:left="357" w:firstLine="349"/>
        <w:contextualSpacing w:val="0"/>
        <w:rPr>
          <w:b w:val="0"/>
          <w:bCs/>
        </w:rPr>
      </w:pPr>
      <w:r w:rsidRPr="00ED20DF">
        <w:rPr>
          <w:b w:val="0"/>
          <w:bCs/>
        </w:rPr>
        <w:t>Los objetivos principales se centran en detallar el diseño y la configuración práctica de la electrónica de red, analizando cómo se integra con los sistemas de transporte terrestre y satelital. Asimismo, se propone una comparativa técnica exhaustiva entre las redes I3D e IPC2. El propósito final es demostrar que la migración a la infraestructura I3D es un paso imperativo para garantizar los principios de disponibilidad, integridad y confidencialidad de la información, dotando a la organización de capacidades superiores en ciberdefensa.</w:t>
      </w:r>
    </w:p>
    <w:p w14:paraId="6F5B9F6E" w14:textId="5FDCD0BE" w:rsidR="0099391A" w:rsidRPr="0041237B" w:rsidRDefault="005C34BB" w:rsidP="00AA1B55">
      <w:pPr>
        <w:pStyle w:val="Section"/>
        <w:contextualSpacing w:val="0"/>
      </w:pPr>
      <w:r w:rsidRPr="0041237B">
        <w:t>Desarrollo</w:t>
      </w:r>
    </w:p>
    <w:p w14:paraId="2824E50D" w14:textId="02E99739" w:rsidR="009C4CA7" w:rsidRDefault="009C4CA7" w:rsidP="00AA1B55">
      <w:pPr>
        <w:pStyle w:val="Subsection"/>
        <w:numPr>
          <w:ilvl w:val="0"/>
          <w:numId w:val="0"/>
        </w:numPr>
        <w:ind w:left="792" w:hanging="432"/>
        <w:contextualSpacing w:val="0"/>
        <w:rPr>
          <w:sz w:val="27"/>
          <w:szCs w:val="27"/>
        </w:rPr>
      </w:pPr>
      <w:r>
        <w:t>2.</w:t>
      </w:r>
      <w:r w:rsidR="007603DD">
        <w:t>1.</w:t>
      </w:r>
      <w:r>
        <w:t xml:space="preserve"> Evolución Organizacional y el Nacimiento de la I3D</w:t>
      </w:r>
    </w:p>
    <w:p w14:paraId="2A73E4B0" w14:textId="57912855" w:rsidR="009C4CA7" w:rsidRDefault="007603DD" w:rsidP="00AA1B55">
      <w:pPr>
        <w:pStyle w:val="NormalWeb"/>
        <w:spacing w:before="0" w:beforeAutospacing="0" w:after="160" w:afterAutospacing="0" w:line="276" w:lineRule="auto"/>
        <w:ind w:left="360"/>
        <w:jc w:val="both"/>
      </w:pPr>
      <w:r>
        <w:t xml:space="preserve">      </w:t>
      </w:r>
      <w:r w:rsidR="009C4CA7" w:rsidRPr="009C4CA7">
        <w:t xml:space="preserve">Históricamente, Defensa </w:t>
      </w:r>
      <w:r w:rsidR="009C4CA7" w:rsidRPr="00903D3F">
        <w:t xml:space="preserve">operaba con dos redes físicamente separadas: la </w:t>
      </w:r>
      <w:r w:rsidR="009C4CA7" w:rsidRPr="00903D3F">
        <w:rPr>
          <w:b/>
          <w:bCs/>
        </w:rPr>
        <w:t>WAN PG</w:t>
      </w:r>
      <w:r w:rsidR="009C4CA7" w:rsidRPr="00903D3F">
        <w:t xml:space="preserve"> (propósito general, contratada a operadores comerciales) y la </w:t>
      </w:r>
      <w:r w:rsidR="009C4CA7" w:rsidRPr="00903D3F">
        <w:rPr>
          <w:b/>
          <w:bCs/>
        </w:rPr>
        <w:t>WAN C2</w:t>
      </w:r>
      <w:r w:rsidR="009C4CA7" w:rsidRPr="00903D3F">
        <w:t xml:space="preserve"> (mando y control, red propia de alta seguridad). Para superar esta dualidad y mejorar la eficiencia, se creó la </w:t>
      </w:r>
      <w:r w:rsidR="007D1059" w:rsidRPr="00903D3F">
        <w:rPr>
          <w:b/>
          <w:bCs/>
        </w:rPr>
        <w:t xml:space="preserve">red </w:t>
      </w:r>
      <w:r w:rsidR="009C4CA7" w:rsidRPr="00903D3F">
        <w:rPr>
          <w:b/>
          <w:bCs/>
        </w:rPr>
        <w:t>I3D</w:t>
      </w:r>
      <w:r w:rsidR="009C4CA7" w:rsidRPr="00903D3F">
        <w:t xml:space="preserve"> Esta nueva red, gestionada centralmente por el CESTIC, busca absorber progresivamente a las anteriores en una estructura </w:t>
      </w:r>
      <w:r w:rsidR="009C4CA7" w:rsidRPr="00903D3F">
        <w:rPr>
          <w:b/>
          <w:bCs/>
        </w:rPr>
        <w:t>única, integral y estandarizada</w:t>
      </w:r>
      <w:r w:rsidR="009C4CA7" w:rsidRPr="00903D3F">
        <w:t>. La I3D no</w:t>
      </w:r>
      <w:r w:rsidR="009C4CA7" w:rsidRPr="009C4CA7">
        <w:t xml:space="preserve"> solo unifica servicios, sino que garantiza la operatividad en cualquier entorno (bases fijas, barcos o zonas de operaciones) mediante un "núcleo protegido" que asegura la supervivencia de sistemas críticos ante incidentes.</w:t>
      </w:r>
    </w:p>
    <w:p w14:paraId="3B18F9EC" w14:textId="5A937584" w:rsidR="009C4CA7" w:rsidRPr="009C4CA7" w:rsidRDefault="009C4CA7" w:rsidP="00AA1B55">
      <w:pPr>
        <w:pStyle w:val="Subsection"/>
        <w:numPr>
          <w:ilvl w:val="0"/>
          <w:numId w:val="0"/>
        </w:numPr>
        <w:ind w:left="792" w:hanging="432"/>
        <w:contextualSpacing w:val="0"/>
      </w:pPr>
      <w:r w:rsidRPr="009C4CA7">
        <w:t>2.</w:t>
      </w:r>
      <w:r>
        <w:t>2</w:t>
      </w:r>
      <w:r w:rsidRPr="009C4CA7">
        <w:t xml:space="preserve"> La Red IPC2: El Legado de Mando y Control</w:t>
      </w:r>
    </w:p>
    <w:p w14:paraId="48389F3C" w14:textId="02119A41" w:rsidR="009C4CA7" w:rsidRPr="009C4CA7" w:rsidRDefault="007D1059" w:rsidP="00AA1B55">
      <w:pPr>
        <w:pStyle w:val="NormalWeb"/>
        <w:spacing w:before="0" w:beforeAutospacing="0" w:after="160" w:afterAutospacing="0" w:line="276" w:lineRule="auto"/>
        <w:ind w:left="360"/>
        <w:jc w:val="both"/>
      </w:pPr>
      <w:r>
        <w:t xml:space="preserve">      </w:t>
      </w:r>
      <w:r w:rsidR="009C4CA7" w:rsidRPr="009C4CA7">
        <w:t xml:space="preserve">La </w:t>
      </w:r>
      <w:r w:rsidR="009C4CA7" w:rsidRPr="004E6902">
        <w:t xml:space="preserve">red IPC2 (o WAN C2) ha sido la encargada de trasladar los servicios de alta clasificación apoyándose en el STM (Sistema de Telecomunicaciones Militares). Su funcionamiento técnico se basa en el protocolo OSPF, que organiza la red en áreas (siendo el Área 0 el </w:t>
      </w:r>
      <w:proofErr w:type="spellStart"/>
      <w:r w:rsidR="009C4CA7" w:rsidRPr="004E6902">
        <w:t>backbone</w:t>
      </w:r>
      <w:proofErr w:type="spellEnd"/>
      <w:r w:rsidR="009C4CA7" w:rsidRPr="004E6902">
        <w:t xml:space="preserve">) para optimizar el procesamiento de los </w:t>
      </w:r>
      <w:proofErr w:type="spellStart"/>
      <w:r w:rsidR="009C4CA7" w:rsidRPr="004E6902">
        <w:t>routers</w:t>
      </w:r>
      <w:proofErr w:type="spellEnd"/>
      <w:r w:rsidR="009C4CA7" w:rsidRPr="004E6902">
        <w:t xml:space="preserve"> y la convergencia de rutas. En situaciones donde la I3D aún no llega, la IPC2 sigue potenciándose mediante circuitos síncronos y técnicas como </w:t>
      </w:r>
      <w:proofErr w:type="spellStart"/>
      <w:r w:rsidR="009C4CA7" w:rsidRPr="004E6902">
        <w:t>Multilink</w:t>
      </w:r>
      <w:proofErr w:type="spellEnd"/>
      <w:r w:rsidR="009C4CA7" w:rsidRPr="004E6902">
        <w:t xml:space="preserve"> para agrupar anchos de banda. Además, para sedes remotas en la WAN PG, se utilizan túneles IPsec mediante </w:t>
      </w:r>
      <w:proofErr w:type="spellStart"/>
      <w:r w:rsidR="009C4CA7" w:rsidRPr="004E6902">
        <w:t>routers</w:t>
      </w:r>
      <w:proofErr w:type="spellEnd"/>
      <w:r w:rsidR="009C4CA7" w:rsidRPr="004E6902">
        <w:t xml:space="preserve"> Cisco ASA para dotar</w:t>
      </w:r>
      <w:r w:rsidR="009C4CA7" w:rsidRPr="009C4CA7">
        <w:t xml:space="preserve"> de confidencialidad a redes no confiables.</w:t>
      </w:r>
    </w:p>
    <w:p w14:paraId="3F41AC18" w14:textId="0562B38F" w:rsidR="009C4CA7" w:rsidRPr="009C4CA7" w:rsidRDefault="007603DD" w:rsidP="00AA1B55">
      <w:pPr>
        <w:pStyle w:val="Subsection"/>
        <w:numPr>
          <w:ilvl w:val="0"/>
          <w:numId w:val="0"/>
        </w:numPr>
        <w:ind w:left="792" w:hanging="432"/>
        <w:contextualSpacing w:val="0"/>
      </w:pPr>
      <w:r>
        <w:t>2.3.</w:t>
      </w:r>
      <w:r w:rsidR="009C4CA7" w:rsidRPr="009C4CA7">
        <w:t xml:space="preserve"> La Revolución de la Capacidad "Frontera" en la I3D</w:t>
      </w:r>
    </w:p>
    <w:p w14:paraId="5573F2C1" w14:textId="5BB09882" w:rsidR="009C4CA7" w:rsidRDefault="007D1059" w:rsidP="00AA1B55">
      <w:pPr>
        <w:pStyle w:val="NormalWeb"/>
        <w:spacing w:before="0" w:beforeAutospacing="0" w:after="160" w:afterAutospacing="0" w:line="276" w:lineRule="auto"/>
        <w:ind w:left="360"/>
        <w:jc w:val="both"/>
      </w:pPr>
      <w:r>
        <w:t xml:space="preserve">      </w:t>
      </w:r>
      <w:r w:rsidR="009C4CA7" w:rsidRPr="009C4CA7">
        <w:t xml:space="preserve">El concepto clave de la I3D </w:t>
      </w:r>
      <w:r w:rsidR="009C4CA7" w:rsidRPr="004E6902">
        <w:t>es la Frontera, el punto donde la Red de Acceso (local) se une a la Red de Transporte. Esta capacidad se apoya en una solución SD-WAN que crea una red virtual (</w:t>
      </w:r>
      <w:proofErr w:type="spellStart"/>
      <w:r w:rsidR="009C4CA7" w:rsidRPr="004E6902">
        <w:t>Overlay</w:t>
      </w:r>
      <w:proofErr w:type="spellEnd"/>
      <w:r w:rsidR="009C4CA7" w:rsidRPr="004E6902">
        <w:t>) cifrada e independiente del medio físico (</w:t>
      </w:r>
      <w:proofErr w:type="spellStart"/>
      <w:r w:rsidR="009C4CA7" w:rsidRPr="004E6902">
        <w:t>Underlay</w:t>
      </w:r>
      <w:proofErr w:type="spellEnd"/>
      <w:r w:rsidR="009C4CA7" w:rsidRPr="004E6902">
        <w:t>). El equipo estrella es el Firewall de Frontera (FWFRT), que no solo cifra el tráfico</w:t>
      </w:r>
      <w:r w:rsidR="009C4CA7" w:rsidRPr="009C4CA7">
        <w:t xml:space="preserve"> bajo estándares estrictos, sino que decide en tiempo real qué transporte usar (fibra, satélite o internet) basándose en la calidad del enlace (latencia y</w:t>
      </w:r>
      <w:r w:rsidR="009C4CA7" w:rsidRPr="0034336F">
        <w:rPr>
          <w:i/>
          <w:iCs/>
        </w:rPr>
        <w:t xml:space="preserve"> </w:t>
      </w:r>
      <w:proofErr w:type="spellStart"/>
      <w:r w:rsidR="009C4CA7" w:rsidRPr="0034336F">
        <w:rPr>
          <w:i/>
          <w:iCs/>
        </w:rPr>
        <w:t>jitter</w:t>
      </w:r>
      <w:proofErr w:type="spellEnd"/>
      <w:r w:rsidR="009C4CA7" w:rsidRPr="009C4CA7">
        <w:t xml:space="preserve">). </w:t>
      </w:r>
    </w:p>
    <w:p w14:paraId="3FBF1EDA" w14:textId="1B3A7E2C" w:rsidR="00C4517F" w:rsidRPr="00D705C6" w:rsidRDefault="007D1059" w:rsidP="00AA1B55">
      <w:pPr>
        <w:pStyle w:val="NormalWeb"/>
        <w:spacing w:before="0" w:beforeAutospacing="0" w:after="160" w:afterAutospacing="0" w:line="276" w:lineRule="auto"/>
        <w:ind w:left="360"/>
        <w:jc w:val="both"/>
      </w:pPr>
      <w:r>
        <w:lastRenderedPageBreak/>
        <w:t xml:space="preserve">      </w:t>
      </w:r>
      <w:r w:rsidR="007603DD" w:rsidRPr="00D705C6">
        <w:t xml:space="preserve">Para gestionar todo este ecosistema complejo, Defensa emplea herramientas avanzadas como Panorama (gestión de firewalls), Fortinet (gestión de firewalls DPP2A), </w:t>
      </w:r>
      <w:proofErr w:type="spellStart"/>
      <w:r w:rsidR="007603DD" w:rsidRPr="00D705C6">
        <w:t>Infoblox</w:t>
      </w:r>
      <w:proofErr w:type="spellEnd"/>
      <w:r w:rsidR="007603DD" w:rsidRPr="00D705C6">
        <w:t xml:space="preserve"> (control de </w:t>
      </w:r>
      <w:proofErr w:type="spellStart"/>
      <w:r w:rsidR="007603DD" w:rsidRPr="00D705C6">
        <w:t>IPs</w:t>
      </w:r>
      <w:proofErr w:type="spellEnd"/>
      <w:r w:rsidR="007603DD" w:rsidRPr="00D705C6">
        <w:t xml:space="preserve">) y XIQ-SE (monitorización de equipos). </w:t>
      </w:r>
    </w:p>
    <w:p w14:paraId="4389EBD9" w14:textId="1004D345" w:rsidR="00C16F38" w:rsidRDefault="00C16F38" w:rsidP="00AA1B55">
      <w:pPr>
        <w:pStyle w:val="NormalWeb"/>
        <w:spacing w:before="0" w:beforeAutospacing="0" w:after="160" w:afterAutospacing="0" w:line="276" w:lineRule="auto"/>
        <w:ind w:left="360" w:firstLine="709"/>
        <w:jc w:val="center"/>
      </w:pPr>
      <w:r>
        <w:rPr>
          <w:noProof/>
        </w:rPr>
        <w:drawing>
          <wp:inline distT="0" distB="0" distL="0" distR="0" wp14:anchorId="2429C2ED" wp14:editId="7883817B">
            <wp:extent cx="3838754" cy="2158307"/>
            <wp:effectExtent l="0" t="0" r="0" b="0"/>
            <wp:docPr id="7915649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56497" name=""/>
                    <pic:cNvPicPr/>
                  </pic:nvPicPr>
                  <pic:blipFill>
                    <a:blip r:embed="rId14"/>
                    <a:stretch>
                      <a:fillRect/>
                    </a:stretch>
                  </pic:blipFill>
                  <pic:spPr>
                    <a:xfrm>
                      <a:off x="0" y="0"/>
                      <a:ext cx="3857287" cy="2168727"/>
                    </a:xfrm>
                    <a:prstGeom prst="rect">
                      <a:avLst/>
                    </a:prstGeom>
                  </pic:spPr>
                </pic:pic>
              </a:graphicData>
            </a:graphic>
          </wp:inline>
        </w:drawing>
      </w:r>
    </w:p>
    <w:p w14:paraId="1D4EBA8E" w14:textId="46161A0C" w:rsidR="00C16F38" w:rsidRPr="00C4517F" w:rsidRDefault="00C16F38" w:rsidP="00AA1B55">
      <w:pPr>
        <w:pStyle w:val="Descripcin"/>
        <w:spacing w:before="0" w:after="160" w:line="276" w:lineRule="auto"/>
        <w:rPr>
          <w:rFonts w:eastAsia="Times New Roman"/>
          <w:lang w:eastAsia="es-ES"/>
        </w:rPr>
      </w:pPr>
      <w:r w:rsidRPr="00C4517F">
        <w:rPr>
          <w:b/>
          <w:bCs w:val="0"/>
        </w:rPr>
        <w:t>Figura 1.</w:t>
      </w:r>
      <w:r>
        <w:t xml:space="preserve"> </w:t>
      </w:r>
      <w:r w:rsidRPr="00AB13A7">
        <w:t xml:space="preserve">Herramienta XIQ-SE </w:t>
      </w:r>
      <w:r w:rsidR="000E49CE">
        <w:t>Monitorización</w:t>
      </w:r>
      <w:r w:rsidRPr="00AB13A7">
        <w:t xml:space="preserve"> de equipos Frontera</w:t>
      </w:r>
    </w:p>
    <w:p w14:paraId="33C9B3E6" w14:textId="11A8A7DA" w:rsidR="00C4517F" w:rsidRPr="00C4517F" w:rsidRDefault="007D1059" w:rsidP="00AA1B55">
      <w:pPr>
        <w:pStyle w:val="NormalWeb"/>
        <w:spacing w:before="0" w:beforeAutospacing="0" w:after="160" w:afterAutospacing="0" w:line="276" w:lineRule="auto"/>
        <w:ind w:left="360"/>
        <w:jc w:val="both"/>
      </w:pPr>
      <w:r>
        <w:t xml:space="preserve">      </w:t>
      </w:r>
      <w:r w:rsidR="007603DD" w:rsidRPr="00C4517F">
        <w:t xml:space="preserve">Estas herramientas permiten la monitorización de toda la red WAN registrando logs para </w:t>
      </w:r>
      <w:r w:rsidR="00C4517F" w:rsidRPr="00C4517F">
        <w:t>para garantizar la trazabilidad de los eventos de seguridad y el diagnóstico proactivo de fallos.</w:t>
      </w:r>
      <w:r w:rsidR="00C16F38">
        <w:t xml:space="preserve"> </w:t>
      </w:r>
      <w:r w:rsidR="00C4517F" w:rsidRPr="00C4517F">
        <w:t>De forma más específica, el registro y análisis de estos logs permite:</w:t>
      </w:r>
    </w:p>
    <w:p w14:paraId="3A447C4A" w14:textId="74EE2FE8" w:rsidR="00DB01B4" w:rsidRDefault="00C4517F" w:rsidP="00AA1B55">
      <w:pPr>
        <w:pStyle w:val="NormalWeb"/>
        <w:numPr>
          <w:ilvl w:val="0"/>
          <w:numId w:val="18"/>
        </w:numPr>
        <w:spacing w:before="0" w:beforeAutospacing="0" w:after="160" w:afterAutospacing="0" w:line="276" w:lineRule="auto"/>
        <w:jc w:val="both"/>
      </w:pPr>
      <w:r w:rsidRPr="00C4517F">
        <w:t xml:space="preserve">Detección de Anomalías y Correlación de Eventos: Identificar patrones de tráfico inusuales o intentos de intrusión mediante el análisis de flujos en herramientas como </w:t>
      </w:r>
      <w:proofErr w:type="spellStart"/>
      <w:r w:rsidRPr="00C4517F">
        <w:t>Fortianalizer</w:t>
      </w:r>
      <w:proofErr w:type="spellEnd"/>
      <w:r w:rsidRPr="00C4517F">
        <w:t>, facilitando la respuesta ante incidentes de ciberseguridad en tiempo real.</w:t>
      </w:r>
    </w:p>
    <w:p w14:paraId="15A067FC" w14:textId="5398A3AB" w:rsidR="00C4517F" w:rsidRDefault="008E6F9E" w:rsidP="00AA1B55">
      <w:pPr>
        <w:pStyle w:val="NormalWeb"/>
        <w:keepNext/>
        <w:spacing w:before="0" w:beforeAutospacing="0" w:after="160" w:afterAutospacing="0" w:line="276" w:lineRule="auto"/>
        <w:ind w:left="360"/>
        <w:jc w:val="center"/>
      </w:pPr>
      <w:r>
        <w:rPr>
          <w:noProof/>
        </w:rPr>
        <w:drawing>
          <wp:inline distT="0" distB="0" distL="0" distR="0" wp14:anchorId="21CBCC16" wp14:editId="2261303A">
            <wp:extent cx="4734108" cy="2248952"/>
            <wp:effectExtent l="0" t="0" r="0" b="0"/>
            <wp:docPr id="14769522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95228" name=""/>
                    <pic:cNvPicPr/>
                  </pic:nvPicPr>
                  <pic:blipFill>
                    <a:blip r:embed="rId15"/>
                    <a:stretch>
                      <a:fillRect/>
                    </a:stretch>
                  </pic:blipFill>
                  <pic:spPr>
                    <a:xfrm>
                      <a:off x="0" y="0"/>
                      <a:ext cx="4749419" cy="2256225"/>
                    </a:xfrm>
                    <a:prstGeom prst="rect">
                      <a:avLst/>
                    </a:prstGeom>
                  </pic:spPr>
                </pic:pic>
              </a:graphicData>
            </a:graphic>
          </wp:inline>
        </w:drawing>
      </w:r>
    </w:p>
    <w:p w14:paraId="25BA3D21" w14:textId="114E7731" w:rsidR="00C4517F" w:rsidRPr="00C4517F" w:rsidRDefault="00C4517F" w:rsidP="00AA1B55">
      <w:pPr>
        <w:pStyle w:val="Descripcin"/>
        <w:spacing w:before="0" w:after="160" w:line="276" w:lineRule="auto"/>
        <w:rPr>
          <w:rFonts w:eastAsia="Times New Roman"/>
          <w:lang w:eastAsia="es-ES"/>
        </w:rPr>
      </w:pPr>
      <w:r w:rsidRPr="00C4517F">
        <w:rPr>
          <w:b/>
          <w:bCs w:val="0"/>
        </w:rPr>
        <w:t xml:space="preserve">Figura </w:t>
      </w:r>
      <w:r w:rsidR="00C16F38">
        <w:rPr>
          <w:b/>
          <w:bCs w:val="0"/>
        </w:rPr>
        <w:t>2</w:t>
      </w:r>
      <w:r w:rsidRPr="00C4517F">
        <w:rPr>
          <w:b/>
          <w:bCs w:val="0"/>
        </w:rPr>
        <w:t>.</w:t>
      </w:r>
      <w:r>
        <w:t xml:space="preserve"> Control de flujos por </w:t>
      </w:r>
      <w:proofErr w:type="spellStart"/>
      <w:r>
        <w:t>Fortianalizer</w:t>
      </w:r>
      <w:proofErr w:type="spellEnd"/>
      <w:r>
        <w:t xml:space="preserve"> </w:t>
      </w:r>
    </w:p>
    <w:p w14:paraId="6B78C617" w14:textId="20321878" w:rsidR="00C4517F" w:rsidRPr="00C4517F" w:rsidRDefault="00C4517F" w:rsidP="00AA1B55">
      <w:pPr>
        <w:pStyle w:val="NormalWeb"/>
        <w:numPr>
          <w:ilvl w:val="0"/>
          <w:numId w:val="18"/>
        </w:numPr>
        <w:spacing w:before="0" w:beforeAutospacing="0" w:after="160" w:afterAutospacing="0" w:line="276" w:lineRule="auto"/>
        <w:jc w:val="both"/>
      </w:pPr>
      <w:r w:rsidRPr="00C4517F">
        <w:t xml:space="preserve">Optimización del Rendimiento (Performance </w:t>
      </w:r>
      <w:proofErr w:type="spellStart"/>
      <w:r w:rsidRPr="00C4517F">
        <w:t>Monitoring</w:t>
      </w:r>
      <w:proofErr w:type="spellEnd"/>
      <w:r w:rsidRPr="00C4517F">
        <w:t xml:space="preserve">): Evaluar métricas críticas como la latencia, el </w:t>
      </w:r>
      <w:proofErr w:type="spellStart"/>
      <w:r w:rsidRPr="00C4517F">
        <w:rPr>
          <w:i/>
          <w:iCs/>
        </w:rPr>
        <w:t>jitter</w:t>
      </w:r>
      <w:proofErr w:type="spellEnd"/>
      <w:r w:rsidRPr="00C4517F">
        <w:t xml:space="preserve"> y la pérdida de paquetes, lo que permite a la solución SD-WAN ejecutar políticas de </w:t>
      </w:r>
      <w:r w:rsidRPr="00C4517F">
        <w:rPr>
          <w:i/>
          <w:iCs/>
        </w:rPr>
        <w:t xml:space="preserve">Path </w:t>
      </w:r>
      <w:proofErr w:type="spellStart"/>
      <w:r w:rsidRPr="00C4517F">
        <w:rPr>
          <w:i/>
          <w:iCs/>
        </w:rPr>
        <w:t>Selection</w:t>
      </w:r>
      <w:proofErr w:type="spellEnd"/>
      <w:r w:rsidRPr="00C4517F">
        <w:t xml:space="preserve"> para conmutar el tráfico hacia el transporte más estable (DWDM, MPLS o Satelital).</w:t>
      </w:r>
    </w:p>
    <w:p w14:paraId="6E308400" w14:textId="77777777" w:rsidR="00C4517F" w:rsidRPr="00C4517F" w:rsidRDefault="00C4517F" w:rsidP="00AA1B55">
      <w:pPr>
        <w:pStyle w:val="NormalWeb"/>
        <w:numPr>
          <w:ilvl w:val="0"/>
          <w:numId w:val="18"/>
        </w:numPr>
        <w:spacing w:before="0" w:beforeAutospacing="0" w:after="160" w:afterAutospacing="0" w:line="276" w:lineRule="auto"/>
        <w:jc w:val="both"/>
      </w:pPr>
      <w:r w:rsidRPr="00C4517F">
        <w:t>Auditoría y Cumplimiento Normativo: Mantener un registro histórico inalterable de los cambios de configuración y accesos a la "Zona Roja" (Alta Clasificación), asegurando que se cumplen las políticas del CESTIC y las guías del CCN/CNI.</w:t>
      </w:r>
    </w:p>
    <w:p w14:paraId="5644F374" w14:textId="1D5505A1" w:rsidR="00C4517F" w:rsidRPr="00D705C6" w:rsidRDefault="00C4517F" w:rsidP="00AA1B55">
      <w:pPr>
        <w:pStyle w:val="NormalWeb"/>
        <w:numPr>
          <w:ilvl w:val="0"/>
          <w:numId w:val="18"/>
        </w:numPr>
        <w:spacing w:before="0" w:beforeAutospacing="0" w:after="160" w:afterAutospacing="0" w:line="276" w:lineRule="auto"/>
        <w:jc w:val="both"/>
      </w:pPr>
      <w:r w:rsidRPr="00C4517F">
        <w:lastRenderedPageBreak/>
        <w:t xml:space="preserve">Gestión del Ciclo de Vida y </w:t>
      </w:r>
      <w:proofErr w:type="spellStart"/>
      <w:r w:rsidRPr="00C4517F">
        <w:t>Troubleshooting</w:t>
      </w:r>
      <w:proofErr w:type="spellEnd"/>
      <w:r w:rsidRPr="00C4517F">
        <w:t>: Facilitar la depuración de errores en las sesiones BGP y adyacencias OSPF, permitiendo a los administradores visualizar el estado de las interfaces y la convergencia de la red desde plataformas centralizadas como Panorama o XIQ-SE.</w:t>
      </w:r>
      <w:r w:rsidR="00DB01B4" w:rsidRPr="00D705C6">
        <w:rPr>
          <w:noProof/>
        </w:rPr>
        <w:t xml:space="preserve"> </w:t>
      </w:r>
    </w:p>
    <w:p w14:paraId="134361AC" w14:textId="1424ADAB" w:rsidR="00DB01B4" w:rsidRDefault="00DB01B4" w:rsidP="00AA1B55">
      <w:pPr>
        <w:pStyle w:val="NormalWeb"/>
        <w:spacing w:before="0" w:beforeAutospacing="0" w:after="160" w:afterAutospacing="0" w:line="276" w:lineRule="auto"/>
        <w:jc w:val="center"/>
      </w:pPr>
      <w:r>
        <w:rPr>
          <w:noProof/>
        </w:rPr>
        <w:drawing>
          <wp:inline distT="0" distB="0" distL="0" distR="0" wp14:anchorId="5E274612" wp14:editId="23B80F49">
            <wp:extent cx="4003451" cy="2424023"/>
            <wp:effectExtent l="0" t="0" r="0" b="0"/>
            <wp:docPr id="12308048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80484" name=""/>
                    <pic:cNvPicPr/>
                  </pic:nvPicPr>
                  <pic:blipFill>
                    <a:blip r:embed="rId16"/>
                    <a:stretch>
                      <a:fillRect/>
                    </a:stretch>
                  </pic:blipFill>
                  <pic:spPr>
                    <a:xfrm>
                      <a:off x="0" y="0"/>
                      <a:ext cx="4018806" cy="2433320"/>
                    </a:xfrm>
                    <a:prstGeom prst="rect">
                      <a:avLst/>
                    </a:prstGeom>
                  </pic:spPr>
                </pic:pic>
              </a:graphicData>
            </a:graphic>
          </wp:inline>
        </w:drawing>
      </w:r>
    </w:p>
    <w:p w14:paraId="1D2F76D7" w14:textId="6B5CB14C" w:rsidR="00DB01B4" w:rsidRPr="00C4517F" w:rsidRDefault="00DB01B4" w:rsidP="00AA1B55">
      <w:pPr>
        <w:pStyle w:val="Descripcin"/>
        <w:spacing w:before="0" w:after="160" w:line="276" w:lineRule="auto"/>
        <w:rPr>
          <w:rFonts w:eastAsia="Times New Roman"/>
          <w:lang w:eastAsia="es-ES"/>
        </w:rPr>
      </w:pPr>
      <w:r w:rsidRPr="00C4517F">
        <w:rPr>
          <w:b/>
          <w:bCs w:val="0"/>
        </w:rPr>
        <w:t xml:space="preserve">Figura </w:t>
      </w:r>
      <w:r w:rsidR="00C16F38">
        <w:rPr>
          <w:b/>
          <w:bCs w:val="0"/>
        </w:rPr>
        <w:t>3</w:t>
      </w:r>
      <w:r w:rsidRPr="00C4517F">
        <w:rPr>
          <w:b/>
          <w:bCs w:val="0"/>
        </w:rPr>
        <w:t>.</w:t>
      </w:r>
      <w:r>
        <w:t xml:space="preserve"> Monitorización </w:t>
      </w:r>
      <w:r w:rsidR="000E49CE">
        <w:t xml:space="preserve">de interfaces </w:t>
      </w:r>
      <w:r>
        <w:t xml:space="preserve">en FWFRT en Panorama </w:t>
      </w:r>
    </w:p>
    <w:p w14:paraId="5C34AE61" w14:textId="1F9894E7" w:rsidR="009C4CA7" w:rsidRPr="009C4CA7" w:rsidRDefault="007603DD" w:rsidP="00AA1B55">
      <w:pPr>
        <w:pStyle w:val="Subsection"/>
        <w:numPr>
          <w:ilvl w:val="0"/>
          <w:numId w:val="0"/>
        </w:numPr>
        <w:ind w:left="792" w:hanging="432"/>
        <w:contextualSpacing w:val="0"/>
      </w:pPr>
      <w:r>
        <w:t>2.4.</w:t>
      </w:r>
      <w:r w:rsidR="009C4CA7" w:rsidRPr="009C4CA7">
        <w:t xml:space="preserve"> Transición Tecnológica: Del STM al DWDM/MPLS</w:t>
      </w:r>
    </w:p>
    <w:p w14:paraId="6C129807" w14:textId="655A344D" w:rsidR="009C4CA7" w:rsidRDefault="007D1059" w:rsidP="00AA1B55">
      <w:pPr>
        <w:pStyle w:val="NormalWeb"/>
        <w:spacing w:before="0" w:beforeAutospacing="0" w:after="160" w:afterAutospacing="0" w:line="276" w:lineRule="auto"/>
        <w:ind w:left="360"/>
        <w:jc w:val="both"/>
      </w:pPr>
      <w:r>
        <w:t xml:space="preserve">      </w:t>
      </w:r>
      <w:r w:rsidR="009C4CA7" w:rsidRPr="009C4CA7">
        <w:t xml:space="preserve">La infraestructura </w:t>
      </w:r>
      <w:r w:rsidR="009C4CA7" w:rsidRPr="004E6902">
        <w:t>terrestre está viviendo el relevo del sistema STM (SDH/JDS), ya obsoleto y descatalogado, por tecnologías de vanguardia suministradas por Nokia. El nuevo "músculo" de la red combina DWDM, que permite multiplicar la capacidad de la fibra óptica hasta niveles de Terabits mediante el uso de múltiples lambdas (colores de luz), y MPLS, que agiliza el enrutamiento mediante etiquetas. Esta combinación permite que la red sea escalable y redundante, permitiendo que la SD-WAN de Palo Alto actúe como el "cerebro</w:t>
      </w:r>
      <w:r w:rsidR="009C4CA7" w:rsidRPr="009C4CA7">
        <w:t>" que orqueste el tráfico sobre estos carriles de alta velocidad.</w:t>
      </w:r>
    </w:p>
    <w:p w14:paraId="205F27C0" w14:textId="7B790307" w:rsidR="009C4CA7" w:rsidRPr="007603DD" w:rsidRDefault="007603DD" w:rsidP="00AA1B55">
      <w:pPr>
        <w:pStyle w:val="Subsection"/>
        <w:numPr>
          <w:ilvl w:val="0"/>
          <w:numId w:val="0"/>
        </w:numPr>
        <w:ind w:left="792" w:hanging="432"/>
        <w:contextualSpacing w:val="0"/>
        <w:rPr>
          <w:i w:val="0"/>
          <w:iCs/>
        </w:rPr>
      </w:pPr>
      <w:r>
        <w:t>2.5.</w:t>
      </w:r>
      <w:r w:rsidRPr="009C4CA7">
        <w:t xml:space="preserve"> </w:t>
      </w:r>
      <w:r w:rsidRPr="007603DD">
        <w:rPr>
          <w:rStyle w:val="SubsectionCar"/>
          <w:i/>
          <w:iCs/>
        </w:rPr>
        <w:t>Integración Satelital y Gestión Centralizada</w:t>
      </w:r>
    </w:p>
    <w:p w14:paraId="7D84B71B" w14:textId="060E080F" w:rsidR="009C4CA7" w:rsidRPr="009C4CA7" w:rsidRDefault="007D1059" w:rsidP="00AA1B55">
      <w:pPr>
        <w:pStyle w:val="NormalWeb"/>
        <w:spacing w:before="0" w:beforeAutospacing="0" w:after="160" w:afterAutospacing="0" w:line="276" w:lineRule="auto"/>
        <w:ind w:left="360"/>
        <w:jc w:val="both"/>
      </w:pPr>
      <w:r>
        <w:t xml:space="preserve">      </w:t>
      </w:r>
      <w:r w:rsidR="009C4CA7" w:rsidRPr="009C4CA7">
        <w:t>Finalmente</w:t>
      </w:r>
      <w:r w:rsidR="009C4CA7" w:rsidRPr="004E6902">
        <w:t>, la infraestructura se completa con el transporte satelital (</w:t>
      </w:r>
      <w:proofErr w:type="spellStart"/>
      <w:r w:rsidR="009C4CA7" w:rsidRPr="004E6902">
        <w:t>SpainSat</w:t>
      </w:r>
      <w:proofErr w:type="spellEnd"/>
      <w:r w:rsidR="009C4CA7" w:rsidRPr="004E6902">
        <w:t xml:space="preserve">), vital para los Nodos Desplegables. Se utilizan dos tecnologías principales: SCPC (enlaces dedicados de nivel 2, más rígidos) e </w:t>
      </w:r>
      <w:proofErr w:type="spellStart"/>
      <w:r w:rsidR="009C4CA7" w:rsidRPr="004E6902">
        <w:t>iDirect</w:t>
      </w:r>
      <w:proofErr w:type="spellEnd"/>
      <w:r w:rsidR="009C4CA7" w:rsidRPr="004E6902">
        <w:t xml:space="preserve"> (enlaces IP dinámicos de nivel 3, más eficientes). Este despliegue masivo, que afectará a más de 650 emplazamientos, requiere un mantenimiento especializado por parte de los CEZMAN, asegurando que</w:t>
      </w:r>
      <w:r w:rsidR="009C4CA7" w:rsidRPr="009C4CA7">
        <w:t xml:space="preserve"> la soberanía de las comunicaciones militares se mantenga inalterable durante la transición.</w:t>
      </w:r>
    </w:p>
    <w:p w14:paraId="31E75F3B" w14:textId="77777777" w:rsidR="003067C8" w:rsidRPr="0041237B" w:rsidRDefault="003067C8" w:rsidP="00AA1B55">
      <w:pPr>
        <w:pStyle w:val="Section"/>
        <w:contextualSpacing w:val="0"/>
      </w:pPr>
      <w:r w:rsidRPr="0041237B">
        <w:t>R</w:t>
      </w:r>
      <w:r w:rsidR="00A4407A" w:rsidRPr="0041237B">
        <w:t>esultados y discusión</w:t>
      </w:r>
    </w:p>
    <w:p w14:paraId="067E2FA7" w14:textId="6437A247" w:rsidR="00696AF7" w:rsidRPr="00696AF7" w:rsidRDefault="003211F6" w:rsidP="00AA1B55">
      <w:pPr>
        <w:pStyle w:val="Section"/>
        <w:numPr>
          <w:ilvl w:val="0"/>
          <w:numId w:val="0"/>
        </w:numPr>
        <w:ind w:left="360" w:firstLine="349"/>
        <w:contextualSpacing w:val="0"/>
        <w:rPr>
          <w:b w:val="0"/>
          <w:bCs/>
        </w:rPr>
      </w:pPr>
      <w:r>
        <w:rPr>
          <w:b w:val="0"/>
          <w:bCs/>
        </w:rPr>
        <w:t xml:space="preserve">Se realiza la siguiente comparativa entre las redes IPC2 e I3D ofreciendo elementos de juicio para valorar su eficiencia. </w:t>
      </w:r>
      <w:r w:rsidR="00696AF7" w:rsidRPr="00696AF7">
        <w:rPr>
          <w:b w:val="0"/>
          <w:bCs/>
        </w:rPr>
        <w:t xml:space="preserve">La implantación de la infraestructura I3D supone un salto tecnológico fundamental frente a la red IPC2, sustituyendo sistemas descatalogados y rígidos por una arquitectura basada en DWDM y MPLS. Esta evolución permite elevar la capacidad de transporte desde los limitados 2.4 Gbps de la red antigua hasta los 100 Gbps por canal, alcanzando picos de 1.6 </w:t>
      </w:r>
      <w:proofErr w:type="spellStart"/>
      <w:r w:rsidR="00696AF7" w:rsidRPr="00696AF7">
        <w:rPr>
          <w:b w:val="0"/>
          <w:bCs/>
        </w:rPr>
        <w:t>Tbps</w:t>
      </w:r>
      <w:proofErr w:type="spellEnd"/>
      <w:r w:rsidR="00696AF7" w:rsidRPr="00696AF7">
        <w:rPr>
          <w:b w:val="0"/>
          <w:bCs/>
        </w:rPr>
        <w:t xml:space="preserve">. Gracias a este incremento, las Fuerzas Armadas pueden soportar servicios críticos modernos como el </w:t>
      </w:r>
      <w:proofErr w:type="spellStart"/>
      <w:r w:rsidR="00696AF7" w:rsidRPr="00696AF7">
        <w:rPr>
          <w:b w:val="0"/>
          <w:bCs/>
        </w:rPr>
        <w:t>streaming</w:t>
      </w:r>
      <w:proofErr w:type="spellEnd"/>
      <w:r w:rsidR="00696AF7" w:rsidRPr="00696AF7">
        <w:rPr>
          <w:b w:val="0"/>
          <w:bCs/>
        </w:rPr>
        <w:t xml:space="preserve"> en alta definición, telemedicina de campo, telemetría de drones y comunicaciones tácticas avanzadas.</w:t>
      </w:r>
    </w:p>
    <w:p w14:paraId="31F6C175" w14:textId="105C486D" w:rsidR="00696AF7" w:rsidRPr="00696AF7" w:rsidRDefault="00696AF7" w:rsidP="00AA1B55">
      <w:pPr>
        <w:pStyle w:val="Section"/>
        <w:numPr>
          <w:ilvl w:val="0"/>
          <w:numId w:val="0"/>
        </w:numPr>
        <w:ind w:left="360" w:firstLine="349"/>
        <w:contextualSpacing w:val="0"/>
        <w:rPr>
          <w:b w:val="0"/>
          <w:bCs/>
        </w:rPr>
      </w:pPr>
      <w:r w:rsidRPr="00696AF7">
        <w:rPr>
          <w:b w:val="0"/>
          <w:bCs/>
        </w:rPr>
        <w:lastRenderedPageBreak/>
        <w:t xml:space="preserve">En términos de eficiencia, la red I3D introduce el enrutamiento automático y la gestión dinámica del ancho de banda, superando la configuración manual y los circuitos dedicados de la </w:t>
      </w:r>
      <w:r w:rsidR="00987944">
        <w:rPr>
          <w:b w:val="0"/>
          <w:bCs/>
        </w:rPr>
        <w:t xml:space="preserve">red </w:t>
      </w:r>
      <w:r w:rsidRPr="00696AF7">
        <w:rPr>
          <w:b w:val="0"/>
          <w:bCs/>
        </w:rPr>
        <w:t>IPC2. Mientras que la red anterior requería intervención humana ante cualquier caída de un tramo óptico, la tecnología MPLS de la I3D garantiza la continuidad del servicio al redirigir el tráfico automáticamente. Además, los recursos que no se utilizan quedan disponibles para otros servicios en tiempo real, optimizando el uso de la infraestructura.</w:t>
      </w:r>
    </w:p>
    <w:p w14:paraId="62686A49" w14:textId="787AB8EE" w:rsidR="00696AF7" w:rsidRPr="00696AF7" w:rsidRDefault="00696AF7" w:rsidP="00AA1B55">
      <w:pPr>
        <w:pStyle w:val="Section"/>
        <w:numPr>
          <w:ilvl w:val="0"/>
          <w:numId w:val="0"/>
        </w:numPr>
        <w:ind w:left="360" w:firstLine="349"/>
        <w:contextualSpacing w:val="0"/>
        <w:rPr>
          <w:b w:val="0"/>
          <w:bCs/>
        </w:rPr>
      </w:pPr>
      <w:r w:rsidRPr="00696AF7">
        <w:rPr>
          <w:b w:val="0"/>
          <w:bCs/>
        </w:rPr>
        <w:t xml:space="preserve">La seguridad experimenta un cambio de paradigma al centralizar sistemas clasificados y no clasificados en un núcleo robusto y redundado, lo que facilita una protección optimizada frente a amenazas. La </w:t>
      </w:r>
      <w:r w:rsidR="00987944">
        <w:rPr>
          <w:b w:val="0"/>
          <w:bCs/>
        </w:rPr>
        <w:t xml:space="preserve">red </w:t>
      </w:r>
      <w:r w:rsidRPr="00696AF7">
        <w:rPr>
          <w:b w:val="0"/>
          <w:bCs/>
        </w:rPr>
        <w:t xml:space="preserve">I3D incorpora firewalls de última generación, cifrado de capa óptica AES-256 y sigue los estándares del CCN-CERT, como el </w:t>
      </w:r>
      <w:proofErr w:type="spellStart"/>
      <w:r w:rsidRPr="00696AF7">
        <w:rPr>
          <w:b w:val="0"/>
          <w:bCs/>
          <w:i/>
          <w:iCs/>
        </w:rPr>
        <w:t>hardening</w:t>
      </w:r>
      <w:proofErr w:type="spellEnd"/>
      <w:r w:rsidRPr="00696AF7">
        <w:rPr>
          <w:b w:val="0"/>
          <w:bCs/>
        </w:rPr>
        <w:t xml:space="preserve"> y la segmentación de red. Por el contrario, la IPC2 dependía principalmente de la seguridad física y configuraciones locales básicas, operando de forma descentralizada y con un mayor riesgo de vulnerabilidad.</w:t>
      </w:r>
    </w:p>
    <w:p w14:paraId="5AC268FB" w14:textId="198BECD4" w:rsidR="00696AF7" w:rsidRPr="00696AF7" w:rsidRDefault="00696AF7" w:rsidP="00AA1B55">
      <w:pPr>
        <w:pStyle w:val="Section"/>
        <w:numPr>
          <w:ilvl w:val="0"/>
          <w:numId w:val="0"/>
        </w:numPr>
        <w:ind w:left="360" w:firstLine="349"/>
        <w:contextualSpacing w:val="0"/>
        <w:rPr>
          <w:b w:val="0"/>
          <w:bCs/>
        </w:rPr>
      </w:pPr>
      <w:r w:rsidRPr="00696AF7">
        <w:rPr>
          <w:b w:val="0"/>
          <w:bCs/>
        </w:rPr>
        <w:t xml:space="preserve">La gestión de la red pasa de ser reactiva y "tortuosa" en la </w:t>
      </w:r>
      <w:r w:rsidR="00987944">
        <w:rPr>
          <w:b w:val="0"/>
          <w:bCs/>
        </w:rPr>
        <w:t xml:space="preserve">red </w:t>
      </w:r>
      <w:r w:rsidRPr="00696AF7">
        <w:rPr>
          <w:b w:val="0"/>
          <w:bCs/>
        </w:rPr>
        <w:t xml:space="preserve">IPC2 a un modelo proactivo y automatizado en la I3D. Las nuevas herramientas permiten monitorizar en tiempo real parámetros críticos como </w:t>
      </w:r>
      <w:r w:rsidR="00987944">
        <w:rPr>
          <w:b w:val="0"/>
          <w:bCs/>
        </w:rPr>
        <w:t xml:space="preserve">la pérdida de paquetes, </w:t>
      </w:r>
      <w:r w:rsidRPr="00696AF7">
        <w:rPr>
          <w:b w:val="0"/>
          <w:bCs/>
        </w:rPr>
        <w:t xml:space="preserve">la latencia, el </w:t>
      </w:r>
      <w:proofErr w:type="spellStart"/>
      <w:r w:rsidRPr="00696AF7">
        <w:rPr>
          <w:b w:val="0"/>
          <w:bCs/>
          <w:i/>
          <w:iCs/>
        </w:rPr>
        <w:t>jitter</w:t>
      </w:r>
      <w:proofErr w:type="spellEnd"/>
      <w:r w:rsidRPr="00696AF7">
        <w:rPr>
          <w:b w:val="0"/>
          <w:bCs/>
        </w:rPr>
        <w:t xml:space="preserve"> y las amenazas de seguridad, además de centralizar la gestión de licencias para evitar su expiración. Asimismo, la Calidad de Servicio (</w:t>
      </w:r>
      <w:proofErr w:type="spellStart"/>
      <w:r w:rsidRPr="00696AF7">
        <w:rPr>
          <w:b w:val="0"/>
          <w:bCs/>
        </w:rPr>
        <w:t>QoS</w:t>
      </w:r>
      <w:proofErr w:type="spellEnd"/>
      <w:r w:rsidRPr="00696AF7">
        <w:rPr>
          <w:b w:val="0"/>
          <w:bCs/>
        </w:rPr>
        <w:t>) evoluciona hacia una priorización dinámica, asegurando que el tráfico de Mando y Control tenga prioridad absoluta sobre tareas administrativas en situaciones operativas críticas.</w:t>
      </w:r>
    </w:p>
    <w:p w14:paraId="6F4245B0" w14:textId="77777777" w:rsidR="00696AF7" w:rsidRDefault="00696AF7" w:rsidP="00AA1B55">
      <w:pPr>
        <w:pStyle w:val="Section"/>
        <w:numPr>
          <w:ilvl w:val="0"/>
          <w:numId w:val="0"/>
        </w:numPr>
        <w:ind w:left="360" w:firstLine="349"/>
        <w:contextualSpacing w:val="0"/>
        <w:rPr>
          <w:b w:val="0"/>
          <w:bCs/>
        </w:rPr>
      </w:pPr>
      <w:r w:rsidRPr="00696AF7">
        <w:rPr>
          <w:b w:val="0"/>
          <w:bCs/>
        </w:rPr>
        <w:t>Finalmente, la conectividad satelital y desplegable se refuerza con el uso de SD-WAN y túneles IPsec simultáneos sobre diversos transportes como satélite o fibra, permitiendo el balanceo de carga y el cambio automático de ruta según la calidad del enlace. Aunque la migración se encuentra al 50% y la I3D ofrece ventajas indiscutibles, la red IPC2 seguirá coexistiendo a medio plazo para dar soporte a sistemas legados no "</w:t>
      </w:r>
      <w:proofErr w:type="spellStart"/>
      <w:r w:rsidRPr="00696AF7">
        <w:rPr>
          <w:b w:val="0"/>
          <w:bCs/>
        </w:rPr>
        <w:t>iperizados</w:t>
      </w:r>
      <w:proofErr w:type="spellEnd"/>
      <w:r w:rsidRPr="00696AF7">
        <w:rPr>
          <w:b w:val="0"/>
          <w:bCs/>
        </w:rPr>
        <w:t>" y alcanzar nodos periféricos donde la nueva infraestructura aún no ha llegado.</w:t>
      </w:r>
    </w:p>
    <w:p w14:paraId="06997685" w14:textId="77777777" w:rsidR="00B76996" w:rsidRPr="00B76996" w:rsidRDefault="00B76996" w:rsidP="00AA1B55"/>
    <w:p w14:paraId="0AFFB39F" w14:textId="77777777" w:rsidR="004F7A60" w:rsidRPr="0041237B" w:rsidRDefault="00E84C08" w:rsidP="00AA1B55">
      <w:pPr>
        <w:pStyle w:val="Section"/>
        <w:contextualSpacing w:val="0"/>
      </w:pPr>
      <w:r w:rsidRPr="0041237B">
        <w:t>Conclusiones</w:t>
      </w:r>
    </w:p>
    <w:p w14:paraId="6AFBB8A4" w14:textId="77777777" w:rsidR="00E305C1" w:rsidRPr="00E305C1" w:rsidRDefault="00E305C1" w:rsidP="00AA1B55">
      <w:pPr>
        <w:pStyle w:val="Reftitle"/>
        <w:rPr>
          <w:b w:val="0"/>
          <w:bCs/>
        </w:rPr>
      </w:pPr>
      <w:r w:rsidRPr="00E305C1">
        <w:rPr>
          <w:b w:val="0"/>
          <w:bCs/>
        </w:rPr>
        <w:t xml:space="preserve">Este </w:t>
      </w:r>
      <w:proofErr w:type="spellStart"/>
      <w:r w:rsidRPr="00E305C1">
        <w:rPr>
          <w:b w:val="0"/>
          <w:bCs/>
        </w:rPr>
        <w:t>análisis</w:t>
      </w:r>
      <w:proofErr w:type="spellEnd"/>
      <w:r w:rsidRPr="00E305C1">
        <w:rPr>
          <w:b w:val="0"/>
          <w:bCs/>
        </w:rPr>
        <w:t xml:space="preserve"> </w:t>
      </w:r>
      <w:proofErr w:type="spellStart"/>
      <w:r w:rsidRPr="00E305C1">
        <w:rPr>
          <w:b w:val="0"/>
          <w:bCs/>
        </w:rPr>
        <w:t>concluye</w:t>
      </w:r>
      <w:proofErr w:type="spellEnd"/>
      <w:r w:rsidRPr="00E305C1">
        <w:rPr>
          <w:b w:val="0"/>
          <w:bCs/>
        </w:rPr>
        <w:t xml:space="preserve"> </w:t>
      </w:r>
      <w:proofErr w:type="spellStart"/>
      <w:r w:rsidRPr="00E305C1">
        <w:rPr>
          <w:b w:val="0"/>
          <w:bCs/>
        </w:rPr>
        <w:t>que</w:t>
      </w:r>
      <w:proofErr w:type="spellEnd"/>
      <w:r w:rsidRPr="00E305C1">
        <w:rPr>
          <w:b w:val="0"/>
          <w:bCs/>
        </w:rPr>
        <w:t xml:space="preserve"> la </w:t>
      </w:r>
      <w:proofErr w:type="spellStart"/>
      <w:r w:rsidRPr="00E305C1">
        <w:rPr>
          <w:b w:val="0"/>
          <w:bCs/>
        </w:rPr>
        <w:t>transición</w:t>
      </w:r>
      <w:proofErr w:type="spellEnd"/>
      <w:r w:rsidRPr="00E305C1">
        <w:rPr>
          <w:b w:val="0"/>
          <w:bCs/>
        </w:rPr>
        <w:t xml:space="preserve"> de la red IPC2 a la I3D </w:t>
      </w:r>
      <w:proofErr w:type="spellStart"/>
      <w:r w:rsidRPr="00E305C1">
        <w:rPr>
          <w:b w:val="0"/>
          <w:bCs/>
        </w:rPr>
        <w:t>constituye</w:t>
      </w:r>
      <w:proofErr w:type="spellEnd"/>
      <w:r w:rsidRPr="00E305C1">
        <w:rPr>
          <w:b w:val="0"/>
          <w:bCs/>
        </w:rPr>
        <w:t xml:space="preserve"> </w:t>
      </w:r>
      <w:proofErr w:type="spellStart"/>
      <w:r w:rsidRPr="00E305C1">
        <w:rPr>
          <w:b w:val="0"/>
          <w:bCs/>
        </w:rPr>
        <w:t>una</w:t>
      </w:r>
      <w:proofErr w:type="spellEnd"/>
      <w:r w:rsidRPr="00E305C1">
        <w:rPr>
          <w:b w:val="0"/>
          <w:bCs/>
        </w:rPr>
        <w:t xml:space="preserve"> </w:t>
      </w:r>
      <w:proofErr w:type="spellStart"/>
      <w:r w:rsidRPr="00E305C1">
        <w:rPr>
          <w:b w:val="0"/>
          <w:bCs/>
        </w:rPr>
        <w:t>revolución</w:t>
      </w:r>
      <w:proofErr w:type="spellEnd"/>
      <w:r w:rsidRPr="00E305C1">
        <w:rPr>
          <w:b w:val="0"/>
          <w:bCs/>
        </w:rPr>
        <w:t xml:space="preserve"> </w:t>
      </w:r>
      <w:proofErr w:type="spellStart"/>
      <w:r w:rsidRPr="00E305C1">
        <w:rPr>
          <w:b w:val="0"/>
          <w:bCs/>
        </w:rPr>
        <w:t>en</w:t>
      </w:r>
      <w:proofErr w:type="spellEnd"/>
      <w:r w:rsidRPr="00E305C1">
        <w:rPr>
          <w:b w:val="0"/>
          <w:bCs/>
        </w:rPr>
        <w:t xml:space="preserve"> la </w:t>
      </w:r>
      <w:proofErr w:type="spellStart"/>
      <w:r w:rsidRPr="00E305C1">
        <w:rPr>
          <w:b w:val="0"/>
          <w:bCs/>
        </w:rPr>
        <w:t>doctrina</w:t>
      </w:r>
      <w:proofErr w:type="spellEnd"/>
      <w:r w:rsidRPr="00E305C1">
        <w:rPr>
          <w:b w:val="0"/>
          <w:bCs/>
        </w:rPr>
        <w:t xml:space="preserve"> de </w:t>
      </w:r>
      <w:proofErr w:type="spellStart"/>
      <w:r w:rsidRPr="00E305C1">
        <w:rPr>
          <w:b w:val="0"/>
          <w:bCs/>
        </w:rPr>
        <w:t>comunicaciones</w:t>
      </w:r>
      <w:proofErr w:type="spellEnd"/>
      <w:r w:rsidRPr="00E305C1">
        <w:rPr>
          <w:b w:val="0"/>
          <w:bCs/>
        </w:rPr>
        <w:t xml:space="preserve"> del </w:t>
      </w:r>
      <w:proofErr w:type="spellStart"/>
      <w:r w:rsidRPr="00E305C1">
        <w:rPr>
          <w:b w:val="0"/>
          <w:bCs/>
        </w:rPr>
        <w:t>Ministerio</w:t>
      </w:r>
      <w:proofErr w:type="spellEnd"/>
      <w:r w:rsidRPr="00E305C1">
        <w:rPr>
          <w:b w:val="0"/>
          <w:bCs/>
        </w:rPr>
        <w:t xml:space="preserve"> de </w:t>
      </w:r>
      <w:proofErr w:type="spellStart"/>
      <w:r w:rsidRPr="00E305C1">
        <w:rPr>
          <w:b w:val="0"/>
          <w:bCs/>
        </w:rPr>
        <w:t>Defensa</w:t>
      </w:r>
      <w:proofErr w:type="spellEnd"/>
      <w:r w:rsidRPr="00E305C1">
        <w:rPr>
          <w:b w:val="0"/>
          <w:bCs/>
        </w:rPr>
        <w:t xml:space="preserve">, </w:t>
      </w:r>
      <w:proofErr w:type="spellStart"/>
      <w:r w:rsidRPr="00E305C1">
        <w:rPr>
          <w:b w:val="0"/>
          <w:bCs/>
        </w:rPr>
        <w:t>evolucionando</w:t>
      </w:r>
      <w:proofErr w:type="spellEnd"/>
      <w:r w:rsidRPr="00E305C1">
        <w:rPr>
          <w:b w:val="0"/>
          <w:bCs/>
        </w:rPr>
        <w:t xml:space="preserve"> de un </w:t>
      </w:r>
      <w:proofErr w:type="spellStart"/>
      <w:r w:rsidRPr="00E305C1">
        <w:rPr>
          <w:b w:val="0"/>
          <w:bCs/>
        </w:rPr>
        <w:t>modelo</w:t>
      </w:r>
      <w:proofErr w:type="spellEnd"/>
      <w:r w:rsidRPr="00E305C1">
        <w:rPr>
          <w:b w:val="0"/>
          <w:bCs/>
        </w:rPr>
        <w:t xml:space="preserve"> </w:t>
      </w:r>
      <w:proofErr w:type="spellStart"/>
      <w:r w:rsidRPr="00E305C1">
        <w:rPr>
          <w:b w:val="0"/>
          <w:bCs/>
        </w:rPr>
        <w:t>basado</w:t>
      </w:r>
      <w:proofErr w:type="spellEnd"/>
      <w:r w:rsidRPr="00E305C1">
        <w:rPr>
          <w:b w:val="0"/>
          <w:bCs/>
        </w:rPr>
        <w:t xml:space="preserve"> </w:t>
      </w:r>
      <w:proofErr w:type="spellStart"/>
      <w:r w:rsidRPr="00E305C1">
        <w:rPr>
          <w:b w:val="0"/>
          <w:bCs/>
        </w:rPr>
        <w:t>en</w:t>
      </w:r>
      <w:proofErr w:type="spellEnd"/>
      <w:r w:rsidRPr="00E305C1">
        <w:rPr>
          <w:b w:val="0"/>
          <w:bCs/>
        </w:rPr>
        <w:t xml:space="preserve"> la </w:t>
      </w:r>
      <w:proofErr w:type="spellStart"/>
      <w:r w:rsidRPr="00E305C1">
        <w:rPr>
          <w:b w:val="0"/>
          <w:bCs/>
        </w:rPr>
        <w:t>rigidez</w:t>
      </w:r>
      <w:proofErr w:type="spellEnd"/>
      <w:r w:rsidRPr="00E305C1">
        <w:rPr>
          <w:b w:val="0"/>
          <w:bCs/>
        </w:rPr>
        <w:t xml:space="preserve"> del hardware </w:t>
      </w:r>
      <w:proofErr w:type="spellStart"/>
      <w:r w:rsidRPr="00E305C1">
        <w:rPr>
          <w:b w:val="0"/>
          <w:bCs/>
        </w:rPr>
        <w:t>hacia</w:t>
      </w:r>
      <w:proofErr w:type="spellEnd"/>
      <w:r w:rsidRPr="00E305C1">
        <w:rPr>
          <w:b w:val="0"/>
          <w:bCs/>
        </w:rPr>
        <w:t xml:space="preserve"> </w:t>
      </w:r>
      <w:proofErr w:type="spellStart"/>
      <w:r w:rsidRPr="00E305C1">
        <w:rPr>
          <w:b w:val="0"/>
          <w:bCs/>
        </w:rPr>
        <w:t>una</w:t>
      </w:r>
      <w:proofErr w:type="spellEnd"/>
      <w:r w:rsidRPr="00E305C1">
        <w:rPr>
          <w:b w:val="0"/>
          <w:bCs/>
        </w:rPr>
        <w:t xml:space="preserve"> </w:t>
      </w:r>
      <w:proofErr w:type="spellStart"/>
      <w:r w:rsidRPr="00E305C1">
        <w:rPr>
          <w:b w:val="0"/>
          <w:bCs/>
        </w:rPr>
        <w:t>arquitectura</w:t>
      </w:r>
      <w:proofErr w:type="spellEnd"/>
      <w:r w:rsidRPr="00E305C1">
        <w:rPr>
          <w:b w:val="0"/>
          <w:bCs/>
        </w:rPr>
        <w:t xml:space="preserve"> de </w:t>
      </w:r>
      <w:proofErr w:type="spellStart"/>
      <w:r w:rsidRPr="00E305C1">
        <w:rPr>
          <w:b w:val="0"/>
          <w:bCs/>
        </w:rPr>
        <w:t>resiliencia</w:t>
      </w:r>
      <w:proofErr w:type="spellEnd"/>
      <w:r w:rsidRPr="00E305C1">
        <w:rPr>
          <w:b w:val="0"/>
          <w:bCs/>
        </w:rPr>
        <w:t xml:space="preserve"> </w:t>
      </w:r>
      <w:proofErr w:type="spellStart"/>
      <w:r w:rsidRPr="00E305C1">
        <w:rPr>
          <w:b w:val="0"/>
          <w:bCs/>
        </w:rPr>
        <w:t>lógica</w:t>
      </w:r>
      <w:proofErr w:type="spellEnd"/>
      <w:r w:rsidRPr="00E305C1">
        <w:rPr>
          <w:b w:val="0"/>
          <w:bCs/>
        </w:rPr>
        <w:t xml:space="preserve"> y </w:t>
      </w:r>
      <w:proofErr w:type="spellStart"/>
      <w:r w:rsidRPr="00E305C1">
        <w:rPr>
          <w:b w:val="0"/>
          <w:bCs/>
        </w:rPr>
        <w:t>gestión</w:t>
      </w:r>
      <w:proofErr w:type="spellEnd"/>
      <w:r w:rsidRPr="00E305C1">
        <w:rPr>
          <w:b w:val="0"/>
          <w:bCs/>
        </w:rPr>
        <w:t xml:space="preserve"> </w:t>
      </w:r>
      <w:proofErr w:type="spellStart"/>
      <w:r w:rsidRPr="00E305C1">
        <w:rPr>
          <w:b w:val="0"/>
          <w:bCs/>
        </w:rPr>
        <w:t>inteligente</w:t>
      </w:r>
      <w:proofErr w:type="spellEnd"/>
      <w:r w:rsidRPr="00E305C1">
        <w:rPr>
          <w:b w:val="0"/>
          <w:bCs/>
        </w:rPr>
        <w:t>.</w:t>
      </w:r>
    </w:p>
    <w:p w14:paraId="55E74E55" w14:textId="77777777" w:rsidR="00E305C1" w:rsidRPr="00E305C1" w:rsidRDefault="00E305C1" w:rsidP="00AA1B55">
      <w:pPr>
        <w:pStyle w:val="Reftitle"/>
        <w:rPr>
          <w:b w:val="0"/>
          <w:bCs/>
        </w:rPr>
      </w:pPr>
      <w:r w:rsidRPr="00E305C1">
        <w:rPr>
          <w:b w:val="0"/>
          <w:bCs/>
        </w:rPr>
        <w:t xml:space="preserve">El </w:t>
      </w:r>
      <w:proofErr w:type="spellStart"/>
      <w:r w:rsidRPr="00E305C1">
        <w:rPr>
          <w:b w:val="0"/>
          <w:bCs/>
        </w:rPr>
        <w:t>salto</w:t>
      </w:r>
      <w:proofErr w:type="spellEnd"/>
      <w:r w:rsidRPr="00E305C1">
        <w:rPr>
          <w:b w:val="0"/>
          <w:bCs/>
        </w:rPr>
        <w:t xml:space="preserve"> </w:t>
      </w:r>
      <w:proofErr w:type="spellStart"/>
      <w:r w:rsidRPr="00E305C1">
        <w:rPr>
          <w:b w:val="0"/>
          <w:bCs/>
        </w:rPr>
        <w:t>tecnológico</w:t>
      </w:r>
      <w:proofErr w:type="spellEnd"/>
      <w:r w:rsidRPr="00E305C1">
        <w:rPr>
          <w:b w:val="0"/>
          <w:bCs/>
        </w:rPr>
        <w:t xml:space="preserve"> se define </w:t>
      </w:r>
      <w:proofErr w:type="spellStart"/>
      <w:r w:rsidRPr="00E305C1">
        <w:rPr>
          <w:b w:val="0"/>
          <w:bCs/>
        </w:rPr>
        <w:t>por</w:t>
      </w:r>
      <w:proofErr w:type="spellEnd"/>
      <w:r w:rsidRPr="00E305C1">
        <w:rPr>
          <w:b w:val="0"/>
          <w:bCs/>
        </w:rPr>
        <w:t xml:space="preserve"> cuatro </w:t>
      </w:r>
      <w:proofErr w:type="spellStart"/>
      <w:r w:rsidRPr="00E305C1">
        <w:rPr>
          <w:b w:val="0"/>
          <w:bCs/>
        </w:rPr>
        <w:t>ejes</w:t>
      </w:r>
      <w:proofErr w:type="spellEnd"/>
      <w:r w:rsidRPr="00E305C1">
        <w:rPr>
          <w:b w:val="0"/>
          <w:bCs/>
        </w:rPr>
        <w:t xml:space="preserve"> </w:t>
      </w:r>
      <w:proofErr w:type="spellStart"/>
      <w:r w:rsidRPr="00E305C1">
        <w:rPr>
          <w:b w:val="0"/>
          <w:bCs/>
        </w:rPr>
        <w:t>estratégicos</w:t>
      </w:r>
      <w:proofErr w:type="spellEnd"/>
      <w:r w:rsidRPr="00E305C1">
        <w:rPr>
          <w:b w:val="0"/>
          <w:bCs/>
        </w:rPr>
        <w:t>:</w:t>
      </w:r>
    </w:p>
    <w:p w14:paraId="25B4FC4E" w14:textId="0B7ADA45" w:rsidR="00E305C1" w:rsidRPr="00E305C1" w:rsidRDefault="00E305C1" w:rsidP="00AA1B55">
      <w:pPr>
        <w:pStyle w:val="Reftitle"/>
        <w:numPr>
          <w:ilvl w:val="0"/>
          <w:numId w:val="17"/>
        </w:numPr>
        <w:rPr>
          <w:b w:val="0"/>
          <w:bCs/>
        </w:rPr>
      </w:pPr>
      <w:proofErr w:type="spellStart"/>
      <w:r w:rsidRPr="00E305C1">
        <w:rPr>
          <w:b w:val="0"/>
          <w:bCs/>
        </w:rPr>
        <w:t>Capacidad</w:t>
      </w:r>
      <w:proofErr w:type="spellEnd"/>
      <w:r w:rsidRPr="00E305C1">
        <w:rPr>
          <w:b w:val="0"/>
          <w:bCs/>
        </w:rPr>
        <w:t xml:space="preserve"> y Transporte: La </w:t>
      </w:r>
      <w:proofErr w:type="spellStart"/>
      <w:r w:rsidRPr="00E305C1">
        <w:rPr>
          <w:b w:val="0"/>
          <w:bCs/>
        </w:rPr>
        <w:t>adopción</w:t>
      </w:r>
      <w:proofErr w:type="spellEnd"/>
      <w:r w:rsidRPr="00E305C1">
        <w:rPr>
          <w:b w:val="0"/>
          <w:bCs/>
        </w:rPr>
        <w:t xml:space="preserve"> de </w:t>
      </w:r>
      <w:proofErr w:type="spellStart"/>
      <w:r w:rsidRPr="00E305C1">
        <w:rPr>
          <w:b w:val="0"/>
          <w:bCs/>
        </w:rPr>
        <w:t>tecnologías</w:t>
      </w:r>
      <w:proofErr w:type="spellEnd"/>
      <w:r w:rsidRPr="00E305C1">
        <w:rPr>
          <w:b w:val="0"/>
          <w:bCs/>
        </w:rPr>
        <w:t xml:space="preserve"> </w:t>
      </w:r>
      <w:proofErr w:type="spellStart"/>
      <w:r w:rsidRPr="00E305C1">
        <w:rPr>
          <w:b w:val="0"/>
          <w:bCs/>
        </w:rPr>
        <w:t>como</w:t>
      </w:r>
      <w:proofErr w:type="spellEnd"/>
      <w:r w:rsidRPr="00E305C1">
        <w:rPr>
          <w:b w:val="0"/>
          <w:bCs/>
        </w:rPr>
        <w:t xml:space="preserve"> DWDM y MPLS </w:t>
      </w:r>
      <w:proofErr w:type="spellStart"/>
      <w:r w:rsidRPr="00E305C1">
        <w:rPr>
          <w:b w:val="0"/>
          <w:bCs/>
        </w:rPr>
        <w:t>multiplica</w:t>
      </w:r>
      <w:proofErr w:type="spellEnd"/>
      <w:r w:rsidRPr="00E305C1">
        <w:rPr>
          <w:b w:val="0"/>
          <w:bCs/>
        </w:rPr>
        <w:t xml:space="preserve"> </w:t>
      </w:r>
      <w:proofErr w:type="spellStart"/>
      <w:r w:rsidRPr="00E305C1">
        <w:rPr>
          <w:b w:val="0"/>
          <w:bCs/>
        </w:rPr>
        <w:t>exponencialmente</w:t>
      </w:r>
      <w:proofErr w:type="spellEnd"/>
      <w:r w:rsidRPr="00E305C1">
        <w:rPr>
          <w:b w:val="0"/>
          <w:bCs/>
        </w:rPr>
        <w:t xml:space="preserve"> </w:t>
      </w:r>
      <w:proofErr w:type="spellStart"/>
      <w:r w:rsidRPr="00E305C1">
        <w:rPr>
          <w:b w:val="0"/>
          <w:bCs/>
        </w:rPr>
        <w:t>el</w:t>
      </w:r>
      <w:proofErr w:type="spellEnd"/>
      <w:r w:rsidRPr="00E305C1">
        <w:rPr>
          <w:b w:val="0"/>
          <w:bCs/>
        </w:rPr>
        <w:t xml:space="preserve"> ancho de </w:t>
      </w:r>
      <w:proofErr w:type="spellStart"/>
      <w:r w:rsidRPr="00E305C1">
        <w:rPr>
          <w:b w:val="0"/>
          <w:bCs/>
        </w:rPr>
        <w:t>banda</w:t>
      </w:r>
      <w:proofErr w:type="spellEnd"/>
      <w:r w:rsidRPr="00E305C1">
        <w:rPr>
          <w:b w:val="0"/>
          <w:bCs/>
        </w:rPr>
        <w:t xml:space="preserve">, </w:t>
      </w:r>
      <w:proofErr w:type="spellStart"/>
      <w:r w:rsidRPr="00E305C1">
        <w:rPr>
          <w:b w:val="0"/>
          <w:bCs/>
        </w:rPr>
        <w:t>permitiendo</w:t>
      </w:r>
      <w:proofErr w:type="spellEnd"/>
      <w:r w:rsidRPr="00E305C1">
        <w:rPr>
          <w:b w:val="0"/>
          <w:bCs/>
        </w:rPr>
        <w:t xml:space="preserve"> </w:t>
      </w:r>
      <w:proofErr w:type="spellStart"/>
      <w:r w:rsidRPr="00E305C1">
        <w:rPr>
          <w:b w:val="0"/>
          <w:bCs/>
        </w:rPr>
        <w:t>capacidades</w:t>
      </w:r>
      <w:proofErr w:type="spellEnd"/>
      <w:r w:rsidRPr="00E305C1">
        <w:rPr>
          <w:b w:val="0"/>
          <w:bCs/>
        </w:rPr>
        <w:t xml:space="preserve"> </w:t>
      </w:r>
      <w:proofErr w:type="spellStart"/>
      <w:r w:rsidRPr="00E305C1">
        <w:rPr>
          <w:b w:val="0"/>
          <w:bCs/>
        </w:rPr>
        <w:t>críticas</w:t>
      </w:r>
      <w:proofErr w:type="spellEnd"/>
      <w:r w:rsidRPr="00E305C1">
        <w:rPr>
          <w:b w:val="0"/>
          <w:bCs/>
        </w:rPr>
        <w:t xml:space="preserve"> de </w:t>
      </w:r>
      <w:proofErr w:type="spellStart"/>
      <w:r w:rsidRPr="00E305C1">
        <w:rPr>
          <w:b w:val="0"/>
          <w:bCs/>
        </w:rPr>
        <w:t>combate</w:t>
      </w:r>
      <w:proofErr w:type="spellEnd"/>
      <w:r w:rsidRPr="00E305C1">
        <w:rPr>
          <w:b w:val="0"/>
          <w:bCs/>
        </w:rPr>
        <w:t xml:space="preserve"> </w:t>
      </w:r>
      <w:proofErr w:type="spellStart"/>
      <w:r w:rsidRPr="00E305C1">
        <w:rPr>
          <w:b w:val="0"/>
          <w:bCs/>
        </w:rPr>
        <w:t>como</w:t>
      </w:r>
      <w:proofErr w:type="spellEnd"/>
      <w:r w:rsidRPr="00E305C1">
        <w:rPr>
          <w:b w:val="0"/>
          <w:bCs/>
        </w:rPr>
        <w:t xml:space="preserve"> </w:t>
      </w:r>
      <w:proofErr w:type="spellStart"/>
      <w:r w:rsidRPr="00E305C1">
        <w:rPr>
          <w:b w:val="0"/>
          <w:bCs/>
        </w:rPr>
        <w:t>el</w:t>
      </w:r>
      <w:proofErr w:type="spellEnd"/>
      <w:r w:rsidRPr="00E305C1">
        <w:rPr>
          <w:b w:val="0"/>
          <w:bCs/>
        </w:rPr>
        <w:t xml:space="preserve"> streaming de </w:t>
      </w:r>
      <w:proofErr w:type="spellStart"/>
      <w:r w:rsidRPr="00E305C1">
        <w:rPr>
          <w:b w:val="0"/>
          <w:bCs/>
        </w:rPr>
        <w:t>sensores</w:t>
      </w:r>
      <w:proofErr w:type="spellEnd"/>
      <w:r w:rsidRPr="00E305C1">
        <w:rPr>
          <w:b w:val="0"/>
          <w:bCs/>
        </w:rPr>
        <w:t xml:space="preserve"> ISR </w:t>
      </w:r>
      <w:proofErr w:type="spellStart"/>
      <w:r w:rsidRPr="00E305C1">
        <w:rPr>
          <w:b w:val="0"/>
          <w:bCs/>
        </w:rPr>
        <w:t>en</w:t>
      </w:r>
      <w:proofErr w:type="spellEnd"/>
      <w:r w:rsidRPr="00E305C1">
        <w:rPr>
          <w:b w:val="0"/>
          <w:bCs/>
        </w:rPr>
        <w:t xml:space="preserve"> </w:t>
      </w:r>
      <w:proofErr w:type="spellStart"/>
      <w:r w:rsidRPr="00E305C1">
        <w:rPr>
          <w:b w:val="0"/>
          <w:bCs/>
        </w:rPr>
        <w:t>tiempo</w:t>
      </w:r>
      <w:proofErr w:type="spellEnd"/>
      <w:r w:rsidRPr="00E305C1">
        <w:rPr>
          <w:b w:val="0"/>
          <w:bCs/>
        </w:rPr>
        <w:t xml:space="preserve"> real.</w:t>
      </w:r>
    </w:p>
    <w:p w14:paraId="2B40059E" w14:textId="77777777" w:rsidR="00E305C1" w:rsidRPr="00E305C1" w:rsidRDefault="00E305C1" w:rsidP="00AA1B55">
      <w:pPr>
        <w:pStyle w:val="Reftitle"/>
        <w:numPr>
          <w:ilvl w:val="0"/>
          <w:numId w:val="17"/>
        </w:numPr>
        <w:rPr>
          <w:b w:val="0"/>
          <w:bCs/>
        </w:rPr>
      </w:pPr>
      <w:proofErr w:type="spellStart"/>
      <w:r w:rsidRPr="00E305C1">
        <w:rPr>
          <w:b w:val="0"/>
          <w:bCs/>
        </w:rPr>
        <w:t>Ciberseguridad</w:t>
      </w:r>
      <w:proofErr w:type="spellEnd"/>
      <w:r w:rsidRPr="00E305C1">
        <w:rPr>
          <w:b w:val="0"/>
          <w:bCs/>
        </w:rPr>
        <w:t xml:space="preserve"> </w:t>
      </w:r>
      <w:proofErr w:type="spellStart"/>
      <w:r w:rsidRPr="00E305C1">
        <w:rPr>
          <w:b w:val="0"/>
          <w:bCs/>
        </w:rPr>
        <w:t>Avanzada</w:t>
      </w:r>
      <w:proofErr w:type="spellEnd"/>
      <w:r w:rsidRPr="00E305C1">
        <w:rPr>
          <w:b w:val="0"/>
          <w:bCs/>
        </w:rPr>
        <w:t xml:space="preserve">: Se </w:t>
      </w:r>
      <w:proofErr w:type="spellStart"/>
      <w:r w:rsidRPr="00E305C1">
        <w:rPr>
          <w:b w:val="0"/>
          <w:bCs/>
        </w:rPr>
        <w:t>abandona</w:t>
      </w:r>
      <w:proofErr w:type="spellEnd"/>
      <w:r w:rsidRPr="00E305C1">
        <w:rPr>
          <w:b w:val="0"/>
          <w:bCs/>
        </w:rPr>
        <w:t xml:space="preserve"> </w:t>
      </w:r>
      <w:proofErr w:type="spellStart"/>
      <w:r w:rsidRPr="00E305C1">
        <w:rPr>
          <w:b w:val="0"/>
          <w:bCs/>
        </w:rPr>
        <w:t>el</w:t>
      </w:r>
      <w:proofErr w:type="spellEnd"/>
      <w:r w:rsidRPr="00E305C1">
        <w:rPr>
          <w:b w:val="0"/>
          <w:bCs/>
        </w:rPr>
        <w:t xml:space="preserve"> </w:t>
      </w:r>
      <w:proofErr w:type="spellStart"/>
      <w:r w:rsidRPr="00E305C1">
        <w:rPr>
          <w:b w:val="0"/>
          <w:bCs/>
        </w:rPr>
        <w:t>concepto</w:t>
      </w:r>
      <w:proofErr w:type="spellEnd"/>
      <w:r w:rsidRPr="00E305C1">
        <w:rPr>
          <w:b w:val="0"/>
          <w:bCs/>
        </w:rPr>
        <w:t xml:space="preserve"> de </w:t>
      </w:r>
      <w:proofErr w:type="spellStart"/>
      <w:r w:rsidRPr="00E305C1">
        <w:rPr>
          <w:b w:val="0"/>
          <w:bCs/>
        </w:rPr>
        <w:t>aislamiento</w:t>
      </w:r>
      <w:proofErr w:type="spellEnd"/>
      <w:r w:rsidRPr="00E305C1">
        <w:rPr>
          <w:b w:val="0"/>
          <w:bCs/>
        </w:rPr>
        <w:t xml:space="preserve"> </w:t>
      </w:r>
      <w:proofErr w:type="spellStart"/>
      <w:r w:rsidRPr="00E305C1">
        <w:rPr>
          <w:b w:val="0"/>
          <w:bCs/>
        </w:rPr>
        <w:t>físico</w:t>
      </w:r>
      <w:proofErr w:type="spellEnd"/>
      <w:r w:rsidRPr="00E305C1">
        <w:rPr>
          <w:b w:val="0"/>
          <w:bCs/>
        </w:rPr>
        <w:t xml:space="preserve"> </w:t>
      </w:r>
      <w:proofErr w:type="spellStart"/>
      <w:r w:rsidRPr="00E305C1">
        <w:rPr>
          <w:b w:val="0"/>
          <w:bCs/>
        </w:rPr>
        <w:t>por</w:t>
      </w:r>
      <w:proofErr w:type="spellEnd"/>
      <w:r w:rsidRPr="00E305C1">
        <w:rPr>
          <w:b w:val="0"/>
          <w:bCs/>
        </w:rPr>
        <w:t xml:space="preserve"> </w:t>
      </w:r>
      <w:proofErr w:type="spellStart"/>
      <w:r w:rsidRPr="00E305C1">
        <w:rPr>
          <w:b w:val="0"/>
          <w:bCs/>
        </w:rPr>
        <w:t>una</w:t>
      </w:r>
      <w:proofErr w:type="spellEnd"/>
      <w:r w:rsidRPr="00E305C1">
        <w:rPr>
          <w:b w:val="0"/>
          <w:bCs/>
        </w:rPr>
        <w:t xml:space="preserve"> </w:t>
      </w:r>
      <w:proofErr w:type="spellStart"/>
      <w:r w:rsidRPr="00E305C1">
        <w:rPr>
          <w:b w:val="0"/>
          <w:bCs/>
        </w:rPr>
        <w:t>defensa</w:t>
      </w:r>
      <w:proofErr w:type="spellEnd"/>
      <w:r w:rsidRPr="00E305C1">
        <w:rPr>
          <w:b w:val="0"/>
          <w:bCs/>
        </w:rPr>
        <w:t xml:space="preserve"> </w:t>
      </w:r>
      <w:proofErr w:type="spellStart"/>
      <w:r w:rsidRPr="00E305C1">
        <w:rPr>
          <w:b w:val="0"/>
          <w:bCs/>
        </w:rPr>
        <w:t>en</w:t>
      </w:r>
      <w:proofErr w:type="spellEnd"/>
      <w:r w:rsidRPr="00E305C1">
        <w:rPr>
          <w:b w:val="0"/>
          <w:bCs/>
        </w:rPr>
        <w:t xml:space="preserve"> </w:t>
      </w:r>
      <w:proofErr w:type="spellStart"/>
      <w:r w:rsidRPr="00E305C1">
        <w:rPr>
          <w:b w:val="0"/>
          <w:bCs/>
        </w:rPr>
        <w:t>profundidad</w:t>
      </w:r>
      <w:proofErr w:type="spellEnd"/>
      <w:r w:rsidRPr="00E305C1">
        <w:rPr>
          <w:b w:val="0"/>
          <w:bCs/>
        </w:rPr>
        <w:t xml:space="preserve"> </w:t>
      </w:r>
      <w:proofErr w:type="spellStart"/>
      <w:r w:rsidRPr="00E305C1">
        <w:rPr>
          <w:b w:val="0"/>
          <w:bCs/>
        </w:rPr>
        <w:t>mediante</w:t>
      </w:r>
      <w:proofErr w:type="spellEnd"/>
      <w:r w:rsidRPr="00E305C1">
        <w:rPr>
          <w:b w:val="0"/>
          <w:bCs/>
        </w:rPr>
        <w:t xml:space="preserve"> </w:t>
      </w:r>
      <w:proofErr w:type="spellStart"/>
      <w:r w:rsidRPr="00E305C1">
        <w:rPr>
          <w:b w:val="0"/>
          <w:bCs/>
        </w:rPr>
        <w:t>cortafuegos</w:t>
      </w:r>
      <w:proofErr w:type="spellEnd"/>
      <w:r w:rsidRPr="00E305C1">
        <w:rPr>
          <w:b w:val="0"/>
          <w:bCs/>
        </w:rPr>
        <w:t xml:space="preserve"> de </w:t>
      </w:r>
      <w:proofErr w:type="spellStart"/>
      <w:r w:rsidRPr="00E305C1">
        <w:rPr>
          <w:b w:val="0"/>
          <w:bCs/>
        </w:rPr>
        <w:t>última</w:t>
      </w:r>
      <w:proofErr w:type="spellEnd"/>
      <w:r w:rsidRPr="00E305C1">
        <w:rPr>
          <w:b w:val="0"/>
          <w:bCs/>
        </w:rPr>
        <w:t xml:space="preserve"> </w:t>
      </w:r>
      <w:proofErr w:type="spellStart"/>
      <w:r w:rsidRPr="00E305C1">
        <w:rPr>
          <w:b w:val="0"/>
          <w:bCs/>
        </w:rPr>
        <w:t>generación</w:t>
      </w:r>
      <w:proofErr w:type="spellEnd"/>
      <w:r w:rsidRPr="00E305C1">
        <w:rPr>
          <w:b w:val="0"/>
          <w:bCs/>
        </w:rPr>
        <w:t xml:space="preserve"> y </w:t>
      </w:r>
      <w:proofErr w:type="spellStart"/>
      <w:r w:rsidRPr="00E305C1">
        <w:rPr>
          <w:b w:val="0"/>
          <w:bCs/>
        </w:rPr>
        <w:t>monitorización</w:t>
      </w:r>
      <w:proofErr w:type="spellEnd"/>
      <w:r w:rsidRPr="00E305C1">
        <w:rPr>
          <w:b w:val="0"/>
          <w:bCs/>
        </w:rPr>
        <w:t xml:space="preserve"> </w:t>
      </w:r>
      <w:proofErr w:type="spellStart"/>
      <w:r w:rsidRPr="00E305C1">
        <w:rPr>
          <w:b w:val="0"/>
          <w:bCs/>
        </w:rPr>
        <w:t>proactiva</w:t>
      </w:r>
      <w:proofErr w:type="spellEnd"/>
      <w:r w:rsidRPr="00E305C1">
        <w:rPr>
          <w:b w:val="0"/>
          <w:bCs/>
        </w:rPr>
        <w:t xml:space="preserve">, </w:t>
      </w:r>
      <w:proofErr w:type="spellStart"/>
      <w:r w:rsidRPr="00E305C1">
        <w:rPr>
          <w:b w:val="0"/>
          <w:bCs/>
        </w:rPr>
        <w:t>garantizando</w:t>
      </w:r>
      <w:proofErr w:type="spellEnd"/>
      <w:r w:rsidRPr="00E305C1">
        <w:rPr>
          <w:b w:val="0"/>
          <w:bCs/>
        </w:rPr>
        <w:t xml:space="preserve"> la </w:t>
      </w:r>
      <w:proofErr w:type="spellStart"/>
      <w:r w:rsidRPr="00E305C1">
        <w:rPr>
          <w:b w:val="0"/>
          <w:bCs/>
        </w:rPr>
        <w:t>integridad</w:t>
      </w:r>
      <w:proofErr w:type="spellEnd"/>
      <w:r w:rsidRPr="00E305C1">
        <w:rPr>
          <w:b w:val="0"/>
          <w:bCs/>
        </w:rPr>
        <w:t xml:space="preserve"> de </w:t>
      </w:r>
      <w:proofErr w:type="spellStart"/>
      <w:r w:rsidRPr="00E305C1">
        <w:rPr>
          <w:b w:val="0"/>
          <w:bCs/>
        </w:rPr>
        <w:t>los</w:t>
      </w:r>
      <w:proofErr w:type="spellEnd"/>
      <w:r w:rsidRPr="00E305C1">
        <w:rPr>
          <w:b w:val="0"/>
          <w:bCs/>
        </w:rPr>
        <w:t xml:space="preserve"> </w:t>
      </w:r>
      <w:proofErr w:type="spellStart"/>
      <w:r w:rsidRPr="00E305C1">
        <w:rPr>
          <w:b w:val="0"/>
          <w:bCs/>
        </w:rPr>
        <w:t>datos</w:t>
      </w:r>
      <w:proofErr w:type="spellEnd"/>
      <w:r w:rsidRPr="00E305C1">
        <w:rPr>
          <w:b w:val="0"/>
          <w:bCs/>
        </w:rPr>
        <w:t xml:space="preserve"> </w:t>
      </w:r>
      <w:proofErr w:type="spellStart"/>
      <w:r w:rsidRPr="00E305C1">
        <w:rPr>
          <w:b w:val="0"/>
          <w:bCs/>
        </w:rPr>
        <w:t>en</w:t>
      </w:r>
      <w:proofErr w:type="spellEnd"/>
      <w:r w:rsidRPr="00E305C1">
        <w:rPr>
          <w:b w:val="0"/>
          <w:bCs/>
        </w:rPr>
        <w:t xml:space="preserve"> </w:t>
      </w:r>
      <w:proofErr w:type="spellStart"/>
      <w:r w:rsidRPr="00E305C1">
        <w:rPr>
          <w:b w:val="0"/>
          <w:bCs/>
        </w:rPr>
        <w:t>entornos</w:t>
      </w:r>
      <w:proofErr w:type="spellEnd"/>
      <w:r w:rsidRPr="00E305C1">
        <w:rPr>
          <w:b w:val="0"/>
          <w:bCs/>
        </w:rPr>
        <w:t xml:space="preserve"> de </w:t>
      </w:r>
      <w:proofErr w:type="spellStart"/>
      <w:r w:rsidRPr="00E305C1">
        <w:rPr>
          <w:b w:val="0"/>
          <w:bCs/>
        </w:rPr>
        <w:t>amenazas</w:t>
      </w:r>
      <w:proofErr w:type="spellEnd"/>
      <w:r w:rsidRPr="00E305C1">
        <w:rPr>
          <w:b w:val="0"/>
          <w:bCs/>
        </w:rPr>
        <w:t xml:space="preserve"> </w:t>
      </w:r>
      <w:proofErr w:type="spellStart"/>
      <w:r w:rsidRPr="00E305C1">
        <w:rPr>
          <w:b w:val="0"/>
          <w:bCs/>
        </w:rPr>
        <w:t>híbridas</w:t>
      </w:r>
      <w:proofErr w:type="spellEnd"/>
      <w:r w:rsidRPr="00E305C1">
        <w:rPr>
          <w:b w:val="0"/>
          <w:bCs/>
        </w:rPr>
        <w:t>.</w:t>
      </w:r>
    </w:p>
    <w:p w14:paraId="52244A9A" w14:textId="77777777" w:rsidR="00E305C1" w:rsidRPr="00E305C1" w:rsidRDefault="00E305C1" w:rsidP="00AA1B55">
      <w:pPr>
        <w:pStyle w:val="Reftitle"/>
        <w:numPr>
          <w:ilvl w:val="0"/>
          <w:numId w:val="17"/>
        </w:numPr>
        <w:rPr>
          <w:b w:val="0"/>
          <w:bCs/>
        </w:rPr>
      </w:pPr>
      <w:proofErr w:type="spellStart"/>
      <w:r w:rsidRPr="00E305C1">
        <w:rPr>
          <w:b w:val="0"/>
          <w:bCs/>
        </w:rPr>
        <w:t>Convergencia</w:t>
      </w:r>
      <w:proofErr w:type="spellEnd"/>
      <w:r w:rsidRPr="00E305C1">
        <w:rPr>
          <w:b w:val="0"/>
          <w:bCs/>
        </w:rPr>
        <w:t xml:space="preserve"> y </w:t>
      </w:r>
      <w:proofErr w:type="spellStart"/>
      <w:r w:rsidRPr="00E305C1">
        <w:rPr>
          <w:b w:val="0"/>
          <w:bCs/>
        </w:rPr>
        <w:t>Eficiencia</w:t>
      </w:r>
      <w:proofErr w:type="spellEnd"/>
      <w:r w:rsidRPr="00E305C1">
        <w:rPr>
          <w:b w:val="0"/>
          <w:bCs/>
        </w:rPr>
        <w:t xml:space="preserve">: La </w:t>
      </w:r>
      <w:proofErr w:type="spellStart"/>
      <w:r w:rsidRPr="00E305C1">
        <w:rPr>
          <w:b w:val="0"/>
          <w:bCs/>
        </w:rPr>
        <w:t>unificación</w:t>
      </w:r>
      <w:proofErr w:type="spellEnd"/>
      <w:r w:rsidRPr="00E305C1">
        <w:rPr>
          <w:b w:val="0"/>
          <w:bCs/>
        </w:rPr>
        <w:t xml:space="preserve"> de redes </w:t>
      </w:r>
      <w:proofErr w:type="spellStart"/>
      <w:r w:rsidRPr="00E305C1">
        <w:rPr>
          <w:b w:val="0"/>
          <w:bCs/>
        </w:rPr>
        <w:t>administrativas</w:t>
      </w:r>
      <w:proofErr w:type="spellEnd"/>
      <w:r w:rsidRPr="00E305C1">
        <w:rPr>
          <w:b w:val="0"/>
          <w:bCs/>
        </w:rPr>
        <w:t xml:space="preserve"> y </w:t>
      </w:r>
      <w:proofErr w:type="spellStart"/>
      <w:r w:rsidRPr="00E305C1">
        <w:rPr>
          <w:b w:val="0"/>
          <w:bCs/>
        </w:rPr>
        <w:t>tácticas</w:t>
      </w:r>
      <w:proofErr w:type="spellEnd"/>
      <w:r w:rsidRPr="00E305C1">
        <w:rPr>
          <w:b w:val="0"/>
          <w:bCs/>
        </w:rPr>
        <w:t xml:space="preserve"> </w:t>
      </w:r>
      <w:proofErr w:type="spellStart"/>
      <w:r w:rsidRPr="00E305C1">
        <w:rPr>
          <w:b w:val="0"/>
          <w:bCs/>
        </w:rPr>
        <w:t>en</w:t>
      </w:r>
      <w:proofErr w:type="spellEnd"/>
      <w:r w:rsidRPr="00E305C1">
        <w:rPr>
          <w:b w:val="0"/>
          <w:bCs/>
        </w:rPr>
        <w:t xml:space="preserve"> un </w:t>
      </w:r>
      <w:proofErr w:type="spellStart"/>
      <w:r w:rsidRPr="00E305C1">
        <w:rPr>
          <w:b w:val="0"/>
          <w:bCs/>
        </w:rPr>
        <w:t>único</w:t>
      </w:r>
      <w:proofErr w:type="spellEnd"/>
      <w:r w:rsidRPr="00E305C1">
        <w:rPr>
          <w:b w:val="0"/>
          <w:bCs/>
        </w:rPr>
        <w:t xml:space="preserve"> </w:t>
      </w:r>
      <w:proofErr w:type="spellStart"/>
      <w:r w:rsidRPr="00E305C1">
        <w:rPr>
          <w:b w:val="0"/>
          <w:bCs/>
        </w:rPr>
        <w:t>tejido</w:t>
      </w:r>
      <w:proofErr w:type="spellEnd"/>
      <w:r w:rsidRPr="00E305C1">
        <w:rPr>
          <w:b w:val="0"/>
          <w:bCs/>
        </w:rPr>
        <w:t xml:space="preserve"> digital </w:t>
      </w:r>
      <w:proofErr w:type="spellStart"/>
      <w:r w:rsidRPr="00E305C1">
        <w:rPr>
          <w:b w:val="0"/>
          <w:bCs/>
        </w:rPr>
        <w:t>permite</w:t>
      </w:r>
      <w:proofErr w:type="spellEnd"/>
      <w:r w:rsidRPr="00E305C1">
        <w:rPr>
          <w:b w:val="0"/>
          <w:bCs/>
        </w:rPr>
        <w:t xml:space="preserve"> un </w:t>
      </w:r>
      <w:proofErr w:type="spellStart"/>
      <w:r w:rsidRPr="00E305C1">
        <w:rPr>
          <w:b w:val="0"/>
          <w:bCs/>
        </w:rPr>
        <w:t>ahorro</w:t>
      </w:r>
      <w:proofErr w:type="spellEnd"/>
      <w:r w:rsidRPr="00E305C1">
        <w:rPr>
          <w:b w:val="0"/>
          <w:bCs/>
        </w:rPr>
        <w:t xml:space="preserve"> </w:t>
      </w:r>
      <w:proofErr w:type="spellStart"/>
      <w:r w:rsidRPr="00E305C1">
        <w:rPr>
          <w:b w:val="0"/>
          <w:bCs/>
        </w:rPr>
        <w:t>masivo</w:t>
      </w:r>
      <w:proofErr w:type="spellEnd"/>
      <w:r w:rsidRPr="00E305C1">
        <w:rPr>
          <w:b w:val="0"/>
          <w:bCs/>
        </w:rPr>
        <w:t xml:space="preserve"> de </w:t>
      </w:r>
      <w:proofErr w:type="spellStart"/>
      <w:r w:rsidRPr="00E305C1">
        <w:rPr>
          <w:b w:val="0"/>
          <w:bCs/>
        </w:rPr>
        <w:t>recursos</w:t>
      </w:r>
      <w:proofErr w:type="spellEnd"/>
      <w:r w:rsidRPr="00E305C1">
        <w:rPr>
          <w:b w:val="0"/>
          <w:bCs/>
        </w:rPr>
        <w:t xml:space="preserve"> y </w:t>
      </w:r>
      <w:proofErr w:type="spellStart"/>
      <w:r w:rsidRPr="00E305C1">
        <w:rPr>
          <w:b w:val="0"/>
          <w:bCs/>
        </w:rPr>
        <w:t>facilita</w:t>
      </w:r>
      <w:proofErr w:type="spellEnd"/>
      <w:r w:rsidRPr="00E305C1">
        <w:rPr>
          <w:b w:val="0"/>
          <w:bCs/>
        </w:rPr>
        <w:t xml:space="preserve"> la </w:t>
      </w:r>
      <w:proofErr w:type="spellStart"/>
      <w:r w:rsidRPr="00E305C1">
        <w:rPr>
          <w:b w:val="0"/>
          <w:bCs/>
        </w:rPr>
        <w:t>transición</w:t>
      </w:r>
      <w:proofErr w:type="spellEnd"/>
      <w:r w:rsidRPr="00E305C1">
        <w:rPr>
          <w:b w:val="0"/>
          <w:bCs/>
        </w:rPr>
        <w:t xml:space="preserve"> </w:t>
      </w:r>
      <w:proofErr w:type="spellStart"/>
      <w:r w:rsidRPr="00E305C1">
        <w:rPr>
          <w:b w:val="0"/>
          <w:bCs/>
        </w:rPr>
        <w:t>hacia</w:t>
      </w:r>
      <w:proofErr w:type="spellEnd"/>
      <w:r w:rsidRPr="00E305C1">
        <w:rPr>
          <w:b w:val="0"/>
          <w:bCs/>
        </w:rPr>
        <w:t xml:space="preserve"> </w:t>
      </w:r>
      <w:proofErr w:type="spellStart"/>
      <w:r w:rsidRPr="00E305C1">
        <w:rPr>
          <w:b w:val="0"/>
          <w:bCs/>
        </w:rPr>
        <w:t>una</w:t>
      </w:r>
      <w:proofErr w:type="spellEnd"/>
      <w:r w:rsidRPr="00E305C1">
        <w:rPr>
          <w:b w:val="0"/>
          <w:bCs/>
        </w:rPr>
        <w:t xml:space="preserve"> </w:t>
      </w:r>
      <w:proofErr w:type="spellStart"/>
      <w:r w:rsidRPr="00E305C1">
        <w:rPr>
          <w:b w:val="0"/>
          <w:bCs/>
        </w:rPr>
        <w:t>nube</w:t>
      </w:r>
      <w:proofErr w:type="spellEnd"/>
      <w:r w:rsidRPr="00E305C1">
        <w:rPr>
          <w:b w:val="0"/>
          <w:bCs/>
        </w:rPr>
        <w:t xml:space="preserve"> </w:t>
      </w:r>
      <w:proofErr w:type="spellStart"/>
      <w:r w:rsidRPr="00E305C1">
        <w:rPr>
          <w:b w:val="0"/>
          <w:bCs/>
        </w:rPr>
        <w:t>privada</w:t>
      </w:r>
      <w:proofErr w:type="spellEnd"/>
      <w:r w:rsidRPr="00E305C1">
        <w:rPr>
          <w:b w:val="0"/>
          <w:bCs/>
        </w:rPr>
        <w:t xml:space="preserve"> de </w:t>
      </w:r>
      <w:proofErr w:type="spellStart"/>
      <w:r w:rsidRPr="00E305C1">
        <w:rPr>
          <w:b w:val="0"/>
          <w:bCs/>
        </w:rPr>
        <w:t>Defensa</w:t>
      </w:r>
      <w:proofErr w:type="spellEnd"/>
      <w:r w:rsidRPr="00E305C1">
        <w:rPr>
          <w:b w:val="0"/>
          <w:bCs/>
        </w:rPr>
        <w:t>.</w:t>
      </w:r>
    </w:p>
    <w:p w14:paraId="554EC55E" w14:textId="77777777" w:rsidR="00E305C1" w:rsidRPr="00E305C1" w:rsidRDefault="00E305C1" w:rsidP="00AA1B55">
      <w:pPr>
        <w:pStyle w:val="Reftitle"/>
        <w:numPr>
          <w:ilvl w:val="0"/>
          <w:numId w:val="17"/>
        </w:numPr>
        <w:rPr>
          <w:b w:val="0"/>
          <w:bCs/>
        </w:rPr>
      </w:pPr>
      <w:proofErr w:type="spellStart"/>
      <w:r w:rsidRPr="00E305C1">
        <w:rPr>
          <w:b w:val="0"/>
          <w:bCs/>
        </w:rPr>
        <w:lastRenderedPageBreak/>
        <w:t>Flexibilidad</w:t>
      </w:r>
      <w:proofErr w:type="spellEnd"/>
      <w:r w:rsidRPr="00E305C1">
        <w:rPr>
          <w:b w:val="0"/>
          <w:bCs/>
        </w:rPr>
        <w:t xml:space="preserve"> </w:t>
      </w:r>
      <w:proofErr w:type="spellStart"/>
      <w:r w:rsidRPr="00E305C1">
        <w:rPr>
          <w:b w:val="0"/>
          <w:bCs/>
        </w:rPr>
        <w:t>mediante</w:t>
      </w:r>
      <w:proofErr w:type="spellEnd"/>
      <w:r w:rsidRPr="00E305C1">
        <w:rPr>
          <w:b w:val="0"/>
          <w:bCs/>
        </w:rPr>
        <w:t xml:space="preserve"> SD-WAN: A </w:t>
      </w:r>
      <w:proofErr w:type="spellStart"/>
      <w:r w:rsidRPr="00E305C1">
        <w:rPr>
          <w:b w:val="0"/>
          <w:bCs/>
        </w:rPr>
        <w:t>diferencia</w:t>
      </w:r>
      <w:proofErr w:type="spellEnd"/>
      <w:r w:rsidRPr="00E305C1">
        <w:rPr>
          <w:b w:val="0"/>
          <w:bCs/>
        </w:rPr>
        <w:t xml:space="preserve"> de la </w:t>
      </w:r>
      <w:proofErr w:type="spellStart"/>
      <w:r w:rsidRPr="00E305C1">
        <w:rPr>
          <w:b w:val="0"/>
          <w:bCs/>
        </w:rPr>
        <w:t>rigidez</w:t>
      </w:r>
      <w:proofErr w:type="spellEnd"/>
      <w:r w:rsidRPr="00E305C1">
        <w:rPr>
          <w:b w:val="0"/>
          <w:bCs/>
        </w:rPr>
        <w:t xml:space="preserve"> de la IPC2, la I3D </w:t>
      </w:r>
      <w:proofErr w:type="spellStart"/>
      <w:r w:rsidRPr="00E305C1">
        <w:rPr>
          <w:b w:val="0"/>
          <w:bCs/>
        </w:rPr>
        <w:t>permite</w:t>
      </w:r>
      <w:proofErr w:type="spellEnd"/>
      <w:r w:rsidRPr="00E305C1">
        <w:rPr>
          <w:b w:val="0"/>
          <w:bCs/>
        </w:rPr>
        <w:t xml:space="preserve"> </w:t>
      </w:r>
      <w:proofErr w:type="spellStart"/>
      <w:r w:rsidRPr="00E305C1">
        <w:rPr>
          <w:b w:val="0"/>
          <w:bCs/>
        </w:rPr>
        <w:t>el</w:t>
      </w:r>
      <w:proofErr w:type="spellEnd"/>
      <w:r w:rsidRPr="00E305C1">
        <w:rPr>
          <w:b w:val="0"/>
          <w:bCs/>
        </w:rPr>
        <w:t xml:space="preserve"> </w:t>
      </w:r>
      <w:proofErr w:type="spellStart"/>
      <w:r w:rsidRPr="00E305C1">
        <w:rPr>
          <w:b w:val="0"/>
          <w:bCs/>
        </w:rPr>
        <w:t>uso</w:t>
      </w:r>
      <w:proofErr w:type="spellEnd"/>
      <w:r w:rsidRPr="00E305C1">
        <w:rPr>
          <w:b w:val="0"/>
          <w:bCs/>
        </w:rPr>
        <w:t xml:space="preserve"> </w:t>
      </w:r>
      <w:proofErr w:type="spellStart"/>
      <w:r w:rsidRPr="00E305C1">
        <w:rPr>
          <w:b w:val="0"/>
          <w:bCs/>
        </w:rPr>
        <w:t>dinámico</w:t>
      </w:r>
      <w:proofErr w:type="spellEnd"/>
      <w:r w:rsidRPr="00E305C1">
        <w:rPr>
          <w:b w:val="0"/>
          <w:bCs/>
        </w:rPr>
        <w:t xml:space="preserve"> de </w:t>
      </w:r>
      <w:proofErr w:type="spellStart"/>
      <w:r w:rsidRPr="00E305C1">
        <w:rPr>
          <w:b w:val="0"/>
          <w:bCs/>
        </w:rPr>
        <w:t>cualquier</w:t>
      </w:r>
      <w:proofErr w:type="spellEnd"/>
      <w:r w:rsidRPr="00E305C1">
        <w:rPr>
          <w:b w:val="0"/>
          <w:bCs/>
        </w:rPr>
        <w:t xml:space="preserve"> </w:t>
      </w:r>
      <w:proofErr w:type="spellStart"/>
      <w:r w:rsidRPr="00E305C1">
        <w:rPr>
          <w:b w:val="0"/>
          <w:bCs/>
        </w:rPr>
        <w:t>transporte</w:t>
      </w:r>
      <w:proofErr w:type="spellEnd"/>
      <w:r w:rsidRPr="00E305C1">
        <w:rPr>
          <w:b w:val="0"/>
          <w:bCs/>
        </w:rPr>
        <w:t xml:space="preserve"> (</w:t>
      </w:r>
      <w:proofErr w:type="spellStart"/>
      <w:r w:rsidRPr="00E305C1">
        <w:rPr>
          <w:b w:val="0"/>
          <w:bCs/>
        </w:rPr>
        <w:t>fibra</w:t>
      </w:r>
      <w:proofErr w:type="spellEnd"/>
      <w:r w:rsidRPr="00E305C1">
        <w:rPr>
          <w:b w:val="0"/>
          <w:bCs/>
        </w:rPr>
        <w:t xml:space="preserve"> o </w:t>
      </w:r>
      <w:proofErr w:type="spellStart"/>
      <w:r w:rsidRPr="00E305C1">
        <w:rPr>
          <w:b w:val="0"/>
          <w:bCs/>
        </w:rPr>
        <w:t>satélite</w:t>
      </w:r>
      <w:proofErr w:type="spellEnd"/>
      <w:r w:rsidRPr="00E305C1">
        <w:rPr>
          <w:b w:val="0"/>
          <w:bCs/>
        </w:rPr>
        <w:t xml:space="preserve">) con </w:t>
      </w:r>
      <w:proofErr w:type="spellStart"/>
      <w:r w:rsidRPr="00E305C1">
        <w:rPr>
          <w:b w:val="0"/>
          <w:bCs/>
        </w:rPr>
        <w:t>túneles</w:t>
      </w:r>
      <w:proofErr w:type="spellEnd"/>
      <w:r w:rsidRPr="00E305C1">
        <w:rPr>
          <w:b w:val="0"/>
          <w:bCs/>
        </w:rPr>
        <w:t xml:space="preserve"> IPsec </w:t>
      </w:r>
      <w:proofErr w:type="spellStart"/>
      <w:r w:rsidRPr="00E305C1">
        <w:rPr>
          <w:b w:val="0"/>
          <w:bCs/>
        </w:rPr>
        <w:t>automáticos</w:t>
      </w:r>
      <w:proofErr w:type="spellEnd"/>
      <w:r w:rsidRPr="00E305C1">
        <w:rPr>
          <w:b w:val="0"/>
          <w:bCs/>
        </w:rPr>
        <w:t xml:space="preserve">, </w:t>
      </w:r>
      <w:proofErr w:type="spellStart"/>
      <w:r w:rsidRPr="00E305C1">
        <w:rPr>
          <w:b w:val="0"/>
          <w:bCs/>
        </w:rPr>
        <w:t>optimizando</w:t>
      </w:r>
      <w:proofErr w:type="spellEnd"/>
      <w:r w:rsidRPr="00E305C1">
        <w:rPr>
          <w:b w:val="0"/>
          <w:bCs/>
        </w:rPr>
        <w:t xml:space="preserve"> la </w:t>
      </w:r>
      <w:proofErr w:type="spellStart"/>
      <w:r w:rsidRPr="00E305C1">
        <w:rPr>
          <w:b w:val="0"/>
          <w:bCs/>
        </w:rPr>
        <w:t>latencia</w:t>
      </w:r>
      <w:proofErr w:type="spellEnd"/>
      <w:r w:rsidRPr="00E305C1">
        <w:rPr>
          <w:b w:val="0"/>
          <w:bCs/>
        </w:rPr>
        <w:t xml:space="preserve"> y la </w:t>
      </w:r>
      <w:proofErr w:type="spellStart"/>
      <w:r w:rsidRPr="00E305C1">
        <w:rPr>
          <w:b w:val="0"/>
          <w:bCs/>
        </w:rPr>
        <w:t>operatividad</w:t>
      </w:r>
      <w:proofErr w:type="spellEnd"/>
      <w:r w:rsidRPr="00E305C1">
        <w:rPr>
          <w:b w:val="0"/>
          <w:bCs/>
        </w:rPr>
        <w:t xml:space="preserve"> </w:t>
      </w:r>
      <w:proofErr w:type="spellStart"/>
      <w:r w:rsidRPr="00E305C1">
        <w:rPr>
          <w:b w:val="0"/>
          <w:bCs/>
        </w:rPr>
        <w:t>en</w:t>
      </w:r>
      <w:proofErr w:type="spellEnd"/>
      <w:r w:rsidRPr="00E305C1">
        <w:rPr>
          <w:b w:val="0"/>
          <w:bCs/>
        </w:rPr>
        <w:t xml:space="preserve"> </w:t>
      </w:r>
      <w:proofErr w:type="spellStart"/>
      <w:r w:rsidRPr="00E305C1">
        <w:rPr>
          <w:b w:val="0"/>
          <w:bCs/>
        </w:rPr>
        <w:t>combate</w:t>
      </w:r>
      <w:proofErr w:type="spellEnd"/>
      <w:r w:rsidRPr="00E305C1">
        <w:rPr>
          <w:b w:val="0"/>
          <w:bCs/>
        </w:rPr>
        <w:t>.</w:t>
      </w:r>
    </w:p>
    <w:p w14:paraId="49F695AB" w14:textId="77777777" w:rsidR="00E305C1" w:rsidRDefault="00E305C1" w:rsidP="00AA1B55">
      <w:pPr>
        <w:pStyle w:val="Reftitle"/>
        <w:rPr>
          <w:b w:val="0"/>
          <w:bCs/>
        </w:rPr>
      </w:pPr>
      <w:r w:rsidRPr="00E305C1">
        <w:rPr>
          <w:b w:val="0"/>
          <w:bCs/>
        </w:rPr>
        <w:t xml:space="preserve">En </w:t>
      </w:r>
      <w:proofErr w:type="spellStart"/>
      <w:r w:rsidRPr="00E305C1">
        <w:rPr>
          <w:b w:val="0"/>
          <w:bCs/>
        </w:rPr>
        <w:t>definitiva</w:t>
      </w:r>
      <w:proofErr w:type="spellEnd"/>
      <w:r w:rsidRPr="00E305C1">
        <w:rPr>
          <w:b w:val="0"/>
          <w:bCs/>
        </w:rPr>
        <w:t xml:space="preserve">, </w:t>
      </w:r>
      <w:proofErr w:type="spellStart"/>
      <w:r w:rsidRPr="00E305C1">
        <w:rPr>
          <w:b w:val="0"/>
          <w:bCs/>
        </w:rPr>
        <w:t>aunque</w:t>
      </w:r>
      <w:proofErr w:type="spellEnd"/>
      <w:r w:rsidRPr="00E305C1">
        <w:rPr>
          <w:b w:val="0"/>
          <w:bCs/>
        </w:rPr>
        <w:t xml:space="preserve"> la IPC2 </w:t>
      </w:r>
      <w:proofErr w:type="spellStart"/>
      <w:r w:rsidRPr="00E305C1">
        <w:rPr>
          <w:b w:val="0"/>
          <w:bCs/>
        </w:rPr>
        <w:t>sigue</w:t>
      </w:r>
      <w:proofErr w:type="spellEnd"/>
      <w:r w:rsidRPr="00E305C1">
        <w:rPr>
          <w:b w:val="0"/>
          <w:bCs/>
        </w:rPr>
        <w:t xml:space="preserve"> </w:t>
      </w:r>
      <w:proofErr w:type="spellStart"/>
      <w:r w:rsidRPr="00E305C1">
        <w:rPr>
          <w:b w:val="0"/>
          <w:bCs/>
        </w:rPr>
        <w:t>siendo</w:t>
      </w:r>
      <w:proofErr w:type="spellEnd"/>
      <w:r w:rsidRPr="00E305C1">
        <w:rPr>
          <w:b w:val="0"/>
          <w:bCs/>
        </w:rPr>
        <w:t xml:space="preserve"> un </w:t>
      </w:r>
      <w:proofErr w:type="spellStart"/>
      <w:r w:rsidRPr="00E305C1">
        <w:rPr>
          <w:b w:val="0"/>
          <w:bCs/>
        </w:rPr>
        <w:t>esqueleto</w:t>
      </w:r>
      <w:proofErr w:type="spellEnd"/>
      <w:r w:rsidRPr="00E305C1">
        <w:rPr>
          <w:b w:val="0"/>
          <w:bCs/>
        </w:rPr>
        <w:t xml:space="preserve"> vital </w:t>
      </w:r>
      <w:proofErr w:type="spellStart"/>
      <w:r w:rsidRPr="00E305C1">
        <w:rPr>
          <w:b w:val="0"/>
          <w:bCs/>
        </w:rPr>
        <w:t>por</w:t>
      </w:r>
      <w:proofErr w:type="spellEnd"/>
      <w:r w:rsidRPr="00E305C1">
        <w:rPr>
          <w:b w:val="0"/>
          <w:bCs/>
        </w:rPr>
        <w:t xml:space="preserve"> </w:t>
      </w:r>
      <w:proofErr w:type="spellStart"/>
      <w:r w:rsidRPr="00E305C1">
        <w:rPr>
          <w:b w:val="0"/>
          <w:bCs/>
        </w:rPr>
        <w:t>su</w:t>
      </w:r>
      <w:proofErr w:type="spellEnd"/>
      <w:r w:rsidRPr="00E305C1">
        <w:rPr>
          <w:b w:val="0"/>
          <w:bCs/>
        </w:rPr>
        <w:t xml:space="preserve"> </w:t>
      </w:r>
      <w:proofErr w:type="spellStart"/>
      <w:r w:rsidRPr="00E305C1">
        <w:rPr>
          <w:b w:val="0"/>
          <w:bCs/>
        </w:rPr>
        <w:t>robustez</w:t>
      </w:r>
      <w:proofErr w:type="spellEnd"/>
      <w:r w:rsidRPr="00E305C1">
        <w:rPr>
          <w:b w:val="0"/>
          <w:bCs/>
        </w:rPr>
        <w:t xml:space="preserve"> </w:t>
      </w:r>
      <w:proofErr w:type="spellStart"/>
      <w:r w:rsidRPr="00E305C1">
        <w:rPr>
          <w:b w:val="0"/>
          <w:bCs/>
        </w:rPr>
        <w:t>en</w:t>
      </w:r>
      <w:proofErr w:type="spellEnd"/>
      <w:r w:rsidRPr="00E305C1">
        <w:rPr>
          <w:b w:val="0"/>
          <w:bCs/>
        </w:rPr>
        <w:t xml:space="preserve"> </w:t>
      </w:r>
      <w:proofErr w:type="spellStart"/>
      <w:r w:rsidRPr="00E305C1">
        <w:rPr>
          <w:b w:val="0"/>
          <w:bCs/>
        </w:rPr>
        <w:t>servicios</w:t>
      </w:r>
      <w:proofErr w:type="spellEnd"/>
      <w:r w:rsidRPr="00E305C1">
        <w:rPr>
          <w:b w:val="0"/>
          <w:bCs/>
        </w:rPr>
        <w:t xml:space="preserve"> </w:t>
      </w:r>
      <w:proofErr w:type="spellStart"/>
      <w:r w:rsidRPr="00E305C1">
        <w:rPr>
          <w:b w:val="0"/>
          <w:bCs/>
        </w:rPr>
        <w:t>esenciales</w:t>
      </w:r>
      <w:proofErr w:type="spellEnd"/>
      <w:r w:rsidRPr="00E305C1">
        <w:rPr>
          <w:b w:val="0"/>
          <w:bCs/>
        </w:rPr>
        <w:t xml:space="preserve">, </w:t>
      </w:r>
      <w:proofErr w:type="spellStart"/>
      <w:r w:rsidRPr="00E305C1">
        <w:rPr>
          <w:b w:val="0"/>
          <w:bCs/>
        </w:rPr>
        <w:t>está</w:t>
      </w:r>
      <w:proofErr w:type="spellEnd"/>
      <w:r w:rsidRPr="00E305C1">
        <w:rPr>
          <w:b w:val="0"/>
          <w:bCs/>
        </w:rPr>
        <w:t xml:space="preserve"> </w:t>
      </w:r>
      <w:proofErr w:type="spellStart"/>
      <w:r w:rsidRPr="00E305C1">
        <w:rPr>
          <w:b w:val="0"/>
          <w:bCs/>
        </w:rPr>
        <w:t>siendo</w:t>
      </w:r>
      <w:proofErr w:type="spellEnd"/>
      <w:r w:rsidRPr="00E305C1">
        <w:rPr>
          <w:b w:val="0"/>
          <w:bCs/>
        </w:rPr>
        <w:t xml:space="preserve"> </w:t>
      </w:r>
      <w:proofErr w:type="spellStart"/>
      <w:r w:rsidRPr="00E305C1">
        <w:rPr>
          <w:b w:val="0"/>
          <w:bCs/>
        </w:rPr>
        <w:t>absorbida</w:t>
      </w:r>
      <w:proofErr w:type="spellEnd"/>
      <w:r w:rsidRPr="00E305C1">
        <w:rPr>
          <w:b w:val="0"/>
          <w:bCs/>
        </w:rPr>
        <w:t xml:space="preserve"> </w:t>
      </w:r>
      <w:proofErr w:type="spellStart"/>
      <w:r w:rsidRPr="00E305C1">
        <w:rPr>
          <w:b w:val="0"/>
          <w:bCs/>
        </w:rPr>
        <w:t>por</w:t>
      </w:r>
      <w:proofErr w:type="spellEnd"/>
      <w:r w:rsidRPr="00E305C1">
        <w:rPr>
          <w:b w:val="0"/>
          <w:bCs/>
        </w:rPr>
        <w:t xml:space="preserve"> </w:t>
      </w:r>
      <w:proofErr w:type="spellStart"/>
      <w:r w:rsidRPr="00E305C1">
        <w:rPr>
          <w:b w:val="0"/>
          <w:bCs/>
        </w:rPr>
        <w:t>una</w:t>
      </w:r>
      <w:proofErr w:type="spellEnd"/>
      <w:r w:rsidRPr="00E305C1">
        <w:rPr>
          <w:b w:val="0"/>
          <w:bCs/>
        </w:rPr>
        <w:t xml:space="preserve"> I3D </w:t>
      </w:r>
      <w:proofErr w:type="spellStart"/>
      <w:r w:rsidRPr="00E305C1">
        <w:rPr>
          <w:b w:val="0"/>
          <w:bCs/>
        </w:rPr>
        <w:t>que</w:t>
      </w:r>
      <w:proofErr w:type="spellEnd"/>
      <w:r w:rsidRPr="00E305C1">
        <w:rPr>
          <w:b w:val="0"/>
          <w:bCs/>
        </w:rPr>
        <w:t xml:space="preserve"> </w:t>
      </w:r>
      <w:proofErr w:type="spellStart"/>
      <w:r w:rsidRPr="00E305C1">
        <w:rPr>
          <w:b w:val="0"/>
          <w:bCs/>
        </w:rPr>
        <w:t>actúa</w:t>
      </w:r>
      <w:proofErr w:type="spellEnd"/>
      <w:r w:rsidRPr="00E305C1">
        <w:rPr>
          <w:b w:val="0"/>
          <w:bCs/>
        </w:rPr>
        <w:t xml:space="preserve"> </w:t>
      </w:r>
      <w:proofErr w:type="spellStart"/>
      <w:r w:rsidRPr="00E305C1">
        <w:rPr>
          <w:b w:val="0"/>
          <w:bCs/>
        </w:rPr>
        <w:t>como</w:t>
      </w:r>
      <w:proofErr w:type="spellEnd"/>
      <w:r w:rsidRPr="00E305C1">
        <w:rPr>
          <w:b w:val="0"/>
          <w:bCs/>
        </w:rPr>
        <w:t xml:space="preserve"> </w:t>
      </w:r>
      <w:proofErr w:type="spellStart"/>
      <w:r w:rsidRPr="00E305C1">
        <w:rPr>
          <w:b w:val="0"/>
          <w:bCs/>
        </w:rPr>
        <w:t>una</w:t>
      </w:r>
      <w:proofErr w:type="spellEnd"/>
      <w:r w:rsidRPr="00E305C1">
        <w:rPr>
          <w:b w:val="0"/>
          <w:bCs/>
        </w:rPr>
        <w:t xml:space="preserve"> </w:t>
      </w:r>
      <w:proofErr w:type="spellStart"/>
      <w:r w:rsidRPr="00E305C1">
        <w:rPr>
          <w:b w:val="0"/>
          <w:bCs/>
        </w:rPr>
        <w:t>capa</w:t>
      </w:r>
      <w:proofErr w:type="spellEnd"/>
      <w:r w:rsidRPr="00E305C1">
        <w:rPr>
          <w:b w:val="0"/>
          <w:bCs/>
        </w:rPr>
        <w:t xml:space="preserve"> superior de </w:t>
      </w:r>
      <w:proofErr w:type="spellStart"/>
      <w:r w:rsidRPr="00E305C1">
        <w:rPr>
          <w:b w:val="0"/>
          <w:bCs/>
        </w:rPr>
        <w:t>seguridad</w:t>
      </w:r>
      <w:proofErr w:type="spellEnd"/>
      <w:r w:rsidRPr="00E305C1">
        <w:rPr>
          <w:b w:val="0"/>
          <w:bCs/>
        </w:rPr>
        <w:t xml:space="preserve">. Esta </w:t>
      </w:r>
      <w:proofErr w:type="spellStart"/>
      <w:r w:rsidRPr="00E305C1">
        <w:rPr>
          <w:b w:val="0"/>
          <w:bCs/>
        </w:rPr>
        <w:t>nueva</w:t>
      </w:r>
      <w:proofErr w:type="spellEnd"/>
      <w:r w:rsidRPr="00E305C1">
        <w:rPr>
          <w:b w:val="0"/>
          <w:bCs/>
        </w:rPr>
        <w:t xml:space="preserve"> </w:t>
      </w:r>
      <w:proofErr w:type="spellStart"/>
      <w:r w:rsidRPr="00E305C1">
        <w:rPr>
          <w:b w:val="0"/>
          <w:bCs/>
        </w:rPr>
        <w:t>infraestructura</w:t>
      </w:r>
      <w:proofErr w:type="spellEnd"/>
      <w:r w:rsidRPr="00E305C1">
        <w:rPr>
          <w:b w:val="0"/>
          <w:bCs/>
        </w:rPr>
        <w:t xml:space="preserve"> </w:t>
      </w:r>
      <w:proofErr w:type="spellStart"/>
      <w:r w:rsidRPr="00E305C1">
        <w:rPr>
          <w:b w:val="0"/>
          <w:bCs/>
        </w:rPr>
        <w:t>posiciona</w:t>
      </w:r>
      <w:proofErr w:type="spellEnd"/>
      <w:r w:rsidRPr="00E305C1">
        <w:rPr>
          <w:b w:val="0"/>
          <w:bCs/>
        </w:rPr>
        <w:t xml:space="preserve"> a las </w:t>
      </w:r>
      <w:proofErr w:type="spellStart"/>
      <w:r w:rsidRPr="00E305C1">
        <w:rPr>
          <w:b w:val="0"/>
          <w:bCs/>
        </w:rPr>
        <w:t>Fuerzas</w:t>
      </w:r>
      <w:proofErr w:type="spellEnd"/>
      <w:r w:rsidRPr="00E305C1">
        <w:rPr>
          <w:b w:val="0"/>
          <w:bCs/>
        </w:rPr>
        <w:t xml:space="preserve"> Armadas </w:t>
      </w:r>
      <w:proofErr w:type="spellStart"/>
      <w:r w:rsidRPr="00E305C1">
        <w:rPr>
          <w:b w:val="0"/>
          <w:bCs/>
        </w:rPr>
        <w:t>en</w:t>
      </w:r>
      <w:proofErr w:type="spellEnd"/>
      <w:r w:rsidRPr="00E305C1">
        <w:rPr>
          <w:b w:val="0"/>
          <w:bCs/>
        </w:rPr>
        <w:t xml:space="preserve"> la </w:t>
      </w:r>
      <w:proofErr w:type="spellStart"/>
      <w:r w:rsidRPr="00E305C1">
        <w:rPr>
          <w:b w:val="0"/>
          <w:bCs/>
        </w:rPr>
        <w:t>vanguardia</w:t>
      </w:r>
      <w:proofErr w:type="spellEnd"/>
      <w:r w:rsidRPr="00E305C1">
        <w:rPr>
          <w:b w:val="0"/>
          <w:bCs/>
        </w:rPr>
        <w:t xml:space="preserve"> </w:t>
      </w:r>
      <w:proofErr w:type="spellStart"/>
      <w:r w:rsidRPr="00E305C1">
        <w:rPr>
          <w:b w:val="0"/>
          <w:bCs/>
        </w:rPr>
        <w:t>tecnológica</w:t>
      </w:r>
      <w:proofErr w:type="spellEnd"/>
      <w:r w:rsidRPr="00E305C1">
        <w:rPr>
          <w:b w:val="0"/>
          <w:bCs/>
        </w:rPr>
        <w:t xml:space="preserve">, </w:t>
      </w:r>
      <w:proofErr w:type="spellStart"/>
      <w:r w:rsidRPr="00E305C1">
        <w:rPr>
          <w:b w:val="0"/>
          <w:bCs/>
        </w:rPr>
        <w:t>convirtiendo</w:t>
      </w:r>
      <w:proofErr w:type="spellEnd"/>
      <w:r w:rsidRPr="00E305C1">
        <w:rPr>
          <w:b w:val="0"/>
          <w:bCs/>
        </w:rPr>
        <w:t xml:space="preserve"> a la red </w:t>
      </w:r>
      <w:proofErr w:type="spellStart"/>
      <w:r w:rsidRPr="00E305C1">
        <w:rPr>
          <w:b w:val="0"/>
          <w:bCs/>
        </w:rPr>
        <w:t>en</w:t>
      </w:r>
      <w:proofErr w:type="spellEnd"/>
      <w:r w:rsidRPr="00E305C1">
        <w:rPr>
          <w:b w:val="0"/>
          <w:bCs/>
        </w:rPr>
        <w:t xml:space="preserve"> un </w:t>
      </w:r>
      <w:proofErr w:type="spellStart"/>
      <w:r w:rsidRPr="00E305C1">
        <w:rPr>
          <w:b w:val="0"/>
          <w:bCs/>
        </w:rPr>
        <w:t>activo</w:t>
      </w:r>
      <w:proofErr w:type="spellEnd"/>
      <w:r w:rsidRPr="00E305C1">
        <w:rPr>
          <w:b w:val="0"/>
          <w:bCs/>
        </w:rPr>
        <w:t xml:space="preserve"> </w:t>
      </w:r>
      <w:proofErr w:type="spellStart"/>
      <w:r w:rsidRPr="00E305C1">
        <w:rPr>
          <w:b w:val="0"/>
          <w:bCs/>
        </w:rPr>
        <w:t>estratégico</w:t>
      </w:r>
      <w:proofErr w:type="spellEnd"/>
      <w:r w:rsidRPr="00E305C1">
        <w:rPr>
          <w:b w:val="0"/>
          <w:bCs/>
        </w:rPr>
        <w:t xml:space="preserve"> fundamental para la </w:t>
      </w:r>
      <w:proofErr w:type="spellStart"/>
      <w:r w:rsidRPr="00E305C1">
        <w:rPr>
          <w:b w:val="0"/>
          <w:bCs/>
        </w:rPr>
        <w:t>soberanía</w:t>
      </w:r>
      <w:proofErr w:type="spellEnd"/>
      <w:r w:rsidRPr="00E305C1">
        <w:rPr>
          <w:b w:val="0"/>
          <w:bCs/>
        </w:rPr>
        <w:t xml:space="preserve"> </w:t>
      </w:r>
      <w:proofErr w:type="spellStart"/>
      <w:r w:rsidRPr="00E305C1">
        <w:rPr>
          <w:b w:val="0"/>
          <w:bCs/>
        </w:rPr>
        <w:t>nacional</w:t>
      </w:r>
      <w:proofErr w:type="spellEnd"/>
      <w:r w:rsidRPr="00E305C1">
        <w:rPr>
          <w:b w:val="0"/>
          <w:bCs/>
        </w:rPr>
        <w:t>.</w:t>
      </w:r>
    </w:p>
    <w:p w14:paraId="6790C85E" w14:textId="45C3C2CF" w:rsidR="008977A6" w:rsidRPr="00465791" w:rsidRDefault="008977A6" w:rsidP="00AA1B55">
      <w:pPr>
        <w:pStyle w:val="Reftitle"/>
        <w:ind w:firstLine="0"/>
        <w:rPr>
          <w:b w:val="0"/>
        </w:rPr>
      </w:pPr>
      <w:proofErr w:type="spellStart"/>
      <w:r w:rsidRPr="0041237B">
        <w:t>R</w:t>
      </w:r>
      <w:r w:rsidR="00A4407A" w:rsidRPr="0041237B">
        <w:t>eferencias</w:t>
      </w:r>
      <w:proofErr w:type="spellEnd"/>
      <w:r w:rsidR="00465791">
        <w:br/>
      </w:r>
    </w:p>
    <w:p w14:paraId="203CF783" w14:textId="0F39C4BB" w:rsidR="00B05413" w:rsidRDefault="00B05413" w:rsidP="00AA1B55">
      <w:pPr>
        <w:pStyle w:val="ReferencesSection"/>
        <w:spacing w:after="160"/>
        <w:ind w:left="426" w:hanging="426"/>
        <w:rPr>
          <w:lang w:eastAsia="es-ES"/>
        </w:rPr>
      </w:pPr>
      <w:r w:rsidRPr="00CF2534">
        <w:rPr>
          <w:rFonts w:eastAsiaTheme="minorEastAsia"/>
          <w:noProof/>
        </w:rPr>
        <w:t xml:space="preserve">Ministerio de Defensa. (2015). Orden DEF/2639/2015, de 3 de diciembre, por la que se establece la Política de los Sistemas y Tecnologías de la Información y las Comunicaciones del Ministerio de Defensa (Política CIS/TIC). </w:t>
      </w:r>
      <w:r w:rsidRPr="00CF2534">
        <w:rPr>
          <w:rFonts w:eastAsiaTheme="minorEastAsia"/>
          <w:i/>
          <w:iCs/>
          <w:noProof/>
        </w:rPr>
        <w:t>Boletín Oficial del Estado (BOE)</w:t>
      </w:r>
      <w:r w:rsidRPr="00CF2534">
        <w:rPr>
          <w:rFonts w:eastAsiaTheme="minorEastAsia"/>
          <w:noProof/>
        </w:rPr>
        <w:t xml:space="preserve">, </w:t>
      </w:r>
      <w:r>
        <w:rPr>
          <w:rFonts w:eastAsiaTheme="minorEastAsia"/>
          <w:noProof/>
        </w:rPr>
        <w:t xml:space="preserve">Nº </w:t>
      </w:r>
      <w:r w:rsidRPr="00CF2534">
        <w:rPr>
          <w:rFonts w:eastAsiaTheme="minorEastAsia"/>
          <w:i/>
          <w:iCs/>
          <w:noProof/>
        </w:rPr>
        <w:t>298</w:t>
      </w:r>
      <w:r w:rsidRPr="00CF2534">
        <w:rPr>
          <w:rFonts w:eastAsiaTheme="minorEastAsia"/>
          <w:noProof/>
        </w:rPr>
        <w:t xml:space="preserve">, </w:t>
      </w:r>
      <w:r>
        <w:rPr>
          <w:rFonts w:eastAsiaTheme="minorEastAsia"/>
          <w:noProof/>
        </w:rPr>
        <w:t xml:space="preserve">Páginas </w:t>
      </w:r>
      <w:r w:rsidRPr="00CF2534">
        <w:rPr>
          <w:rFonts w:eastAsiaTheme="minorEastAsia"/>
          <w:noProof/>
        </w:rPr>
        <w:t>117789-117798.</w:t>
      </w:r>
    </w:p>
    <w:p w14:paraId="1E6A2C4C" w14:textId="5018D08D" w:rsidR="00B05413" w:rsidRDefault="00B05413" w:rsidP="00AA1B55">
      <w:pPr>
        <w:pStyle w:val="ReferencesSection"/>
        <w:spacing w:after="160"/>
        <w:ind w:left="426" w:hanging="426"/>
        <w:rPr>
          <w:lang w:eastAsia="es-ES"/>
        </w:rPr>
      </w:pPr>
      <w:r w:rsidRPr="00FF43FD">
        <w:rPr>
          <w:noProof/>
        </w:rPr>
        <w:t xml:space="preserve">Ministerio de Defensa. Secretaría de Estado de Defensa. (2016). Instrucción 58/2016, de 28 de octubre, por la que se aprueba la Arquitectura Global de Sistemas y Tecnologías de Información y Comunicaciones del Ministerio de Defensa. </w:t>
      </w:r>
      <w:proofErr w:type="spellStart"/>
      <w:r>
        <w:rPr>
          <w:i/>
          <w:iCs/>
        </w:rPr>
        <w:t>Boletín</w:t>
      </w:r>
      <w:proofErr w:type="spellEnd"/>
      <w:r>
        <w:rPr>
          <w:i/>
          <w:iCs/>
        </w:rPr>
        <w:t xml:space="preserve"> </w:t>
      </w:r>
      <w:proofErr w:type="spellStart"/>
      <w:r>
        <w:rPr>
          <w:i/>
          <w:iCs/>
        </w:rPr>
        <w:t>Oficial</w:t>
      </w:r>
      <w:proofErr w:type="spellEnd"/>
      <w:r>
        <w:rPr>
          <w:i/>
          <w:iCs/>
        </w:rPr>
        <w:t xml:space="preserve"> del </w:t>
      </w:r>
      <w:proofErr w:type="spellStart"/>
      <w:r>
        <w:rPr>
          <w:i/>
          <w:iCs/>
        </w:rPr>
        <w:t>Ministerio</w:t>
      </w:r>
      <w:proofErr w:type="spellEnd"/>
      <w:r>
        <w:rPr>
          <w:i/>
          <w:iCs/>
        </w:rPr>
        <w:t xml:space="preserve"> de </w:t>
      </w:r>
      <w:proofErr w:type="spellStart"/>
      <w:r>
        <w:rPr>
          <w:i/>
          <w:iCs/>
        </w:rPr>
        <w:t>Defensa</w:t>
      </w:r>
      <w:proofErr w:type="spellEnd"/>
      <w:r>
        <w:rPr>
          <w:i/>
          <w:iCs/>
        </w:rPr>
        <w:t xml:space="preserve"> (BOD) Nº 217.</w:t>
      </w:r>
    </w:p>
    <w:p w14:paraId="500EFC08" w14:textId="26581A04" w:rsidR="00B05413" w:rsidRDefault="00B05413" w:rsidP="00AA1B55">
      <w:pPr>
        <w:pStyle w:val="ReferencesSection"/>
        <w:spacing w:after="160"/>
        <w:ind w:left="426" w:hanging="426"/>
        <w:rPr>
          <w:lang w:eastAsia="es-ES"/>
        </w:rPr>
      </w:pPr>
      <w:proofErr w:type="spellStart"/>
      <w:r>
        <w:t>Ministerio</w:t>
      </w:r>
      <w:proofErr w:type="spellEnd"/>
      <w:r>
        <w:t xml:space="preserve"> de </w:t>
      </w:r>
      <w:proofErr w:type="spellStart"/>
      <w:r>
        <w:t>Defensa</w:t>
      </w:r>
      <w:proofErr w:type="spellEnd"/>
      <w:r>
        <w:t xml:space="preserve">. </w:t>
      </w:r>
      <w:proofErr w:type="spellStart"/>
      <w:r w:rsidRPr="00CF2534">
        <w:t>Secretaría</w:t>
      </w:r>
      <w:proofErr w:type="spellEnd"/>
      <w:r w:rsidRPr="00CF2534">
        <w:t xml:space="preserve"> de Estado de </w:t>
      </w:r>
      <w:proofErr w:type="spellStart"/>
      <w:r w:rsidRPr="00CF2534">
        <w:t>Defensa</w:t>
      </w:r>
      <w:proofErr w:type="spellEnd"/>
      <w:r w:rsidRPr="00CF2534">
        <w:t xml:space="preserve">. (2018). </w:t>
      </w:r>
      <w:proofErr w:type="spellStart"/>
      <w:r w:rsidRPr="00CF2534">
        <w:t>Instrucción</w:t>
      </w:r>
      <w:proofErr w:type="spellEnd"/>
      <w:r w:rsidRPr="00CF2534">
        <w:t xml:space="preserve"> 33/2018, de 6 de </w:t>
      </w:r>
      <w:proofErr w:type="spellStart"/>
      <w:r w:rsidRPr="00CF2534">
        <w:t>junio</w:t>
      </w:r>
      <w:proofErr w:type="spellEnd"/>
      <w:r w:rsidRPr="00CF2534">
        <w:t xml:space="preserve">, </w:t>
      </w:r>
      <w:proofErr w:type="spellStart"/>
      <w:r w:rsidRPr="00CF2534">
        <w:t>por</w:t>
      </w:r>
      <w:proofErr w:type="spellEnd"/>
      <w:r w:rsidRPr="00CF2534">
        <w:t xml:space="preserve"> la </w:t>
      </w:r>
      <w:proofErr w:type="spellStart"/>
      <w:r w:rsidRPr="00CF2534">
        <w:t>que</w:t>
      </w:r>
      <w:proofErr w:type="spellEnd"/>
      <w:r w:rsidRPr="00CF2534">
        <w:t xml:space="preserve"> se </w:t>
      </w:r>
      <w:proofErr w:type="spellStart"/>
      <w:r w:rsidRPr="00CF2534">
        <w:t>aprueba</w:t>
      </w:r>
      <w:proofErr w:type="spellEnd"/>
      <w:r w:rsidRPr="00CF2534">
        <w:t xml:space="preserve"> </w:t>
      </w:r>
      <w:proofErr w:type="spellStart"/>
      <w:r w:rsidRPr="00CF2534">
        <w:t>el</w:t>
      </w:r>
      <w:proofErr w:type="spellEnd"/>
      <w:r>
        <w:t xml:space="preserve"> Plan </w:t>
      </w:r>
      <w:proofErr w:type="spellStart"/>
      <w:r>
        <w:t>Estratégico</w:t>
      </w:r>
      <w:proofErr w:type="spellEnd"/>
      <w:r>
        <w:t xml:space="preserve"> de </w:t>
      </w:r>
      <w:proofErr w:type="spellStart"/>
      <w:r>
        <w:t>los</w:t>
      </w:r>
      <w:proofErr w:type="spellEnd"/>
      <w:r>
        <w:t xml:space="preserve"> Sistemas y </w:t>
      </w:r>
      <w:proofErr w:type="spellStart"/>
      <w:r>
        <w:t>Tecnologías</w:t>
      </w:r>
      <w:proofErr w:type="spellEnd"/>
      <w:r>
        <w:t xml:space="preserve"> de la </w:t>
      </w:r>
      <w:proofErr w:type="spellStart"/>
      <w:r>
        <w:t>Información</w:t>
      </w:r>
      <w:proofErr w:type="spellEnd"/>
      <w:r>
        <w:t xml:space="preserve"> y las Comunicaciones del </w:t>
      </w:r>
      <w:proofErr w:type="spellStart"/>
      <w:r>
        <w:t>Ministerio</w:t>
      </w:r>
      <w:proofErr w:type="spellEnd"/>
      <w:r>
        <w:t xml:space="preserve"> de </w:t>
      </w:r>
      <w:proofErr w:type="spellStart"/>
      <w:r>
        <w:t>Defensa</w:t>
      </w:r>
      <w:proofErr w:type="spellEnd"/>
      <w:r>
        <w:t xml:space="preserve"> (PECIS). </w:t>
      </w:r>
      <w:proofErr w:type="spellStart"/>
      <w:r>
        <w:rPr>
          <w:i/>
          <w:iCs/>
        </w:rPr>
        <w:t>Boletín</w:t>
      </w:r>
      <w:proofErr w:type="spellEnd"/>
      <w:r>
        <w:rPr>
          <w:i/>
          <w:iCs/>
        </w:rPr>
        <w:t xml:space="preserve"> </w:t>
      </w:r>
      <w:proofErr w:type="spellStart"/>
      <w:r>
        <w:rPr>
          <w:i/>
          <w:iCs/>
        </w:rPr>
        <w:t>Oficial</w:t>
      </w:r>
      <w:proofErr w:type="spellEnd"/>
      <w:r>
        <w:rPr>
          <w:i/>
          <w:iCs/>
        </w:rPr>
        <w:t xml:space="preserve"> del </w:t>
      </w:r>
      <w:proofErr w:type="spellStart"/>
      <w:r>
        <w:rPr>
          <w:i/>
          <w:iCs/>
        </w:rPr>
        <w:t>Ministerio</w:t>
      </w:r>
      <w:proofErr w:type="spellEnd"/>
      <w:r>
        <w:rPr>
          <w:i/>
          <w:iCs/>
        </w:rPr>
        <w:t xml:space="preserve"> de </w:t>
      </w:r>
      <w:proofErr w:type="spellStart"/>
      <w:r>
        <w:rPr>
          <w:i/>
          <w:iCs/>
        </w:rPr>
        <w:t>Defensa</w:t>
      </w:r>
      <w:proofErr w:type="spellEnd"/>
      <w:r>
        <w:rPr>
          <w:i/>
          <w:iCs/>
        </w:rPr>
        <w:t xml:space="preserve"> (BOD) Nº 111</w:t>
      </w:r>
      <w:r>
        <w:t>.</w:t>
      </w:r>
    </w:p>
    <w:p w14:paraId="5341AF4C" w14:textId="775F87EB" w:rsidR="00C51055" w:rsidRPr="00C51055" w:rsidRDefault="00C51055" w:rsidP="00AA1B55">
      <w:pPr>
        <w:pStyle w:val="ReferencesSection"/>
        <w:spacing w:after="160"/>
        <w:ind w:left="426" w:hanging="426"/>
        <w:rPr>
          <w:lang w:eastAsia="es-ES"/>
        </w:rPr>
      </w:pPr>
      <w:r w:rsidRPr="00736FCD">
        <w:rPr>
          <w:noProof/>
        </w:rPr>
        <w:t xml:space="preserve">Ministerio de Defensa. Secretaría de Estado de Defensa. (2021). Resolución 307/08135/21, de 17 de mayo, por la que se establece la Estrategia de comunicaciones móviles de quinta generación (Estrategia 5G) del Ministerio de Defensa. </w:t>
      </w:r>
      <w:r w:rsidRPr="00736FCD">
        <w:rPr>
          <w:i/>
          <w:iCs/>
          <w:noProof/>
        </w:rPr>
        <w:t>Boletín Oficial del Ministerio de Defensa (BOD), Nº 103.</w:t>
      </w:r>
    </w:p>
    <w:p w14:paraId="2884BDAA" w14:textId="3F57CCB1" w:rsidR="00C51055" w:rsidRDefault="00C51055" w:rsidP="00AA1B55">
      <w:pPr>
        <w:pStyle w:val="ReferencesSection"/>
        <w:spacing w:after="160"/>
        <w:ind w:left="426" w:hanging="426"/>
        <w:rPr>
          <w:lang w:eastAsia="es-ES"/>
        </w:rPr>
      </w:pPr>
      <w:r w:rsidRPr="00736FCD">
        <w:rPr>
          <w:noProof/>
        </w:rPr>
        <w:t xml:space="preserve">Ministerio de Defensa. Secretaría de Estado de Defensa. (2021). Resolución 307/08136/21, de 17 de mayo, por la que se establece la Estrategia de Explotación de la Nube en el Ministerio de Defensa. </w:t>
      </w:r>
      <w:r w:rsidRPr="00736FCD">
        <w:rPr>
          <w:i/>
          <w:iCs/>
          <w:noProof/>
        </w:rPr>
        <w:t>Boletín Oficial del Ministerio de Defensa (BOD), Nº 103.</w:t>
      </w:r>
    </w:p>
    <w:p w14:paraId="2CDFFE59" w14:textId="437D7B17" w:rsidR="00B05413" w:rsidRDefault="00913F52" w:rsidP="00AA1B55">
      <w:pPr>
        <w:pStyle w:val="ReferencesSection"/>
        <w:spacing w:after="160"/>
        <w:ind w:left="426" w:hanging="426"/>
        <w:rPr>
          <w:lang w:eastAsia="es-ES"/>
        </w:rPr>
      </w:pPr>
      <w:r w:rsidRPr="007653A2">
        <w:rPr>
          <w:noProof/>
        </w:rPr>
        <w:t xml:space="preserve">Tanenbaum, A. S., &amp; Wetherall, D. J. (2012). </w:t>
      </w:r>
      <w:r w:rsidRPr="007653A2">
        <w:rPr>
          <w:i/>
          <w:iCs/>
          <w:noProof/>
        </w:rPr>
        <w:t>Redes de computadoras</w:t>
      </w:r>
      <w:r w:rsidRPr="007653A2">
        <w:rPr>
          <w:noProof/>
        </w:rPr>
        <w:t xml:space="preserve"> (5</w:t>
      </w:r>
      <w:r>
        <w:rPr>
          <w:noProof/>
        </w:rPr>
        <w:t xml:space="preserve">ª </w:t>
      </w:r>
      <w:r w:rsidRPr="007653A2">
        <w:rPr>
          <w:noProof/>
        </w:rPr>
        <w:t>ed.). Pearson</w:t>
      </w:r>
      <w:r>
        <w:rPr>
          <w:noProof/>
        </w:rPr>
        <w:t xml:space="preserve"> </w:t>
      </w:r>
      <w:r w:rsidRPr="007653A2">
        <w:rPr>
          <w:noProof/>
        </w:rPr>
        <w:t>Educación.</w:t>
      </w:r>
    </w:p>
    <w:p w14:paraId="3E8843E9" w14:textId="38A8C667" w:rsidR="00B05413" w:rsidRDefault="00913F52" w:rsidP="00AA1B55">
      <w:pPr>
        <w:pStyle w:val="ReferencesSection"/>
        <w:spacing w:after="160"/>
        <w:ind w:left="426" w:hanging="426"/>
        <w:rPr>
          <w:lang w:eastAsia="es-ES"/>
        </w:rPr>
      </w:pPr>
      <w:r w:rsidRPr="009E7B76">
        <w:rPr>
          <w:noProof/>
        </w:rPr>
        <w:t xml:space="preserve">Ariganello, E. (2020). </w:t>
      </w:r>
      <w:r w:rsidRPr="009E7B76">
        <w:rPr>
          <w:i/>
          <w:iCs/>
          <w:noProof/>
        </w:rPr>
        <w:t>Redes Cisco, Guía de estudio para la certificación CCNA 200-301</w:t>
      </w:r>
      <w:r w:rsidRPr="009E7B76">
        <w:rPr>
          <w:noProof/>
        </w:rPr>
        <w:t>. RA-MA S.A. Editorial y Publicaciones.</w:t>
      </w:r>
    </w:p>
    <w:tbl>
      <w:tblPr>
        <w:tblW w:w="4646" w:type="pct"/>
        <w:tblCellSpacing w:w="15" w:type="dxa"/>
        <w:tblCellMar>
          <w:top w:w="15" w:type="dxa"/>
          <w:left w:w="15" w:type="dxa"/>
          <w:bottom w:w="15" w:type="dxa"/>
          <w:right w:w="15" w:type="dxa"/>
        </w:tblCellMar>
        <w:tblLook w:val="04A0" w:firstRow="1" w:lastRow="0" w:firstColumn="1" w:lastColumn="0" w:noHBand="0" w:noVBand="1"/>
      </w:tblPr>
      <w:tblGrid>
        <w:gridCol w:w="9062"/>
      </w:tblGrid>
      <w:tr w:rsidR="00913F52" w14:paraId="1211E0B5" w14:textId="77777777" w:rsidTr="00913F52">
        <w:trPr>
          <w:trHeight w:val="1199"/>
          <w:tblCellSpacing w:w="15" w:type="dxa"/>
        </w:trPr>
        <w:tc>
          <w:tcPr>
            <w:tcW w:w="4967" w:type="pct"/>
            <w:hideMark/>
          </w:tcPr>
          <w:p w14:paraId="7AA11E3C" w14:textId="7EC1EB59" w:rsidR="00913F52" w:rsidRDefault="00913F52" w:rsidP="00AA1B55">
            <w:pPr>
              <w:pStyle w:val="Bibliografa"/>
              <w:spacing w:after="160" w:line="276" w:lineRule="auto"/>
              <w:ind w:firstLine="0"/>
              <w:rPr>
                <w:rFonts w:eastAsiaTheme="minorEastAsia"/>
                <w:noProof/>
              </w:rPr>
            </w:pPr>
          </w:p>
        </w:tc>
      </w:tr>
      <w:tr w:rsidR="00913F52" w:rsidRPr="007653A2" w14:paraId="631D3D8E" w14:textId="77777777" w:rsidTr="00913F52">
        <w:trPr>
          <w:tblCellSpacing w:w="15" w:type="dxa"/>
        </w:trPr>
        <w:tc>
          <w:tcPr>
            <w:tcW w:w="4967" w:type="pct"/>
          </w:tcPr>
          <w:p w14:paraId="52E62B70" w14:textId="749CD427" w:rsidR="00913F52" w:rsidRPr="007653A2" w:rsidRDefault="00913F52" w:rsidP="00AA1B55">
            <w:pPr>
              <w:pStyle w:val="Bibliografa"/>
              <w:spacing w:after="160" w:line="276" w:lineRule="auto"/>
              <w:ind w:firstLine="0"/>
            </w:pPr>
          </w:p>
        </w:tc>
      </w:tr>
      <w:tr w:rsidR="00913F52" w:rsidRPr="007653A2" w14:paraId="7352BEA9" w14:textId="77777777" w:rsidTr="00913F52">
        <w:trPr>
          <w:tblCellSpacing w:w="15" w:type="dxa"/>
        </w:trPr>
        <w:tc>
          <w:tcPr>
            <w:tcW w:w="4967" w:type="pct"/>
            <w:hideMark/>
          </w:tcPr>
          <w:p w14:paraId="73CF5091" w14:textId="6A18A942" w:rsidR="00913F52" w:rsidRPr="007653A2" w:rsidRDefault="00913F52" w:rsidP="00913F52">
            <w:pPr>
              <w:pStyle w:val="Bibliografa"/>
              <w:ind w:firstLine="0"/>
              <w:rPr>
                <w:noProof/>
              </w:rPr>
            </w:pPr>
          </w:p>
        </w:tc>
      </w:tr>
    </w:tbl>
    <w:p w14:paraId="61B8A6FE" w14:textId="77777777" w:rsidR="00B05413" w:rsidRPr="0041237B" w:rsidRDefault="00B05413" w:rsidP="00913F52">
      <w:pPr>
        <w:pStyle w:val="ReferencesSection"/>
        <w:numPr>
          <w:ilvl w:val="0"/>
          <w:numId w:val="0"/>
        </w:numPr>
        <w:ind w:left="720" w:hanging="360"/>
        <w:rPr>
          <w:lang w:eastAsia="es-ES"/>
        </w:rPr>
      </w:pPr>
    </w:p>
    <w:sectPr w:rsidR="00B05413" w:rsidRPr="0041237B" w:rsidSect="007322A7">
      <w:type w:val="continuous"/>
      <w:pgSz w:w="11906" w:h="16838"/>
      <w:pgMar w:top="1021" w:right="1077" w:bottom="1021" w:left="107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541DB" w14:textId="77777777" w:rsidR="004834FE" w:rsidRDefault="004834FE" w:rsidP="0084620C">
      <w:r>
        <w:separator/>
      </w:r>
    </w:p>
  </w:endnote>
  <w:endnote w:type="continuationSeparator" w:id="0">
    <w:p w14:paraId="774A25A4" w14:textId="77777777" w:rsidR="004834FE" w:rsidRDefault="004834FE" w:rsidP="008462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BB17A" w14:textId="77777777" w:rsidR="007322A7" w:rsidRDefault="007322A7">
    <w:pPr>
      <w:pStyle w:val="Piedepgina"/>
    </w:pPr>
  </w:p>
  <w:p w14:paraId="5D0460FF" w14:textId="77777777" w:rsidR="007322A7" w:rsidRDefault="007322A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B25AD" w14:textId="77777777" w:rsidR="004834FE" w:rsidRDefault="004834FE" w:rsidP="0084620C">
      <w:r>
        <w:separator/>
      </w:r>
    </w:p>
  </w:footnote>
  <w:footnote w:type="continuationSeparator" w:id="0">
    <w:p w14:paraId="1BC26286" w14:textId="77777777" w:rsidR="004834FE" w:rsidRDefault="004834FE" w:rsidP="008462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EF152" w14:textId="03AA41A0" w:rsidR="005C34BB" w:rsidRPr="00880A2D" w:rsidRDefault="00A5389A" w:rsidP="00D72969">
    <w:pPr>
      <w:pStyle w:val="Encabezado"/>
      <w:spacing w:after="240"/>
      <w:ind w:firstLine="357"/>
      <w:jc w:val="right"/>
    </w:pPr>
    <w:r>
      <w:t>Máster Universitario en Dirección TIC para la Defensa, 20</w:t>
    </w:r>
    <w:r w:rsidR="00B76996">
      <w:t>25</w:t>
    </w:r>
    <w:r>
      <w:t>-20</w:t>
    </w:r>
    <w:r w:rsidR="00B76996">
      <w:t>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11BA" w14:textId="29D2E876" w:rsidR="00847C88" w:rsidRDefault="00A5389A" w:rsidP="00D72969">
    <w:pPr>
      <w:pStyle w:val="Encabezado"/>
      <w:spacing w:after="240"/>
      <w:ind w:firstLine="357"/>
    </w:pPr>
    <w:r>
      <w:t>Máster Universitario en Dirección TIC para la Defensa, 20</w:t>
    </w:r>
    <w:r w:rsidR="007F19FA">
      <w:t>25</w:t>
    </w:r>
    <w:r>
      <w:t>-20</w:t>
    </w:r>
    <w:r w:rsidR="007F19FA">
      <w:t>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F6CEB"/>
    <w:multiLevelType w:val="multilevel"/>
    <w:tmpl w:val="A1BEA10A"/>
    <w:lvl w:ilvl="0">
      <w:start w:val="1"/>
      <w:numFmt w:val="decimal"/>
      <w:pStyle w:val="Section"/>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 w15:restartNumberingAfterBreak="0">
    <w:nsid w:val="06CA23A8"/>
    <w:multiLevelType w:val="multilevel"/>
    <w:tmpl w:val="3D265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4A28C0"/>
    <w:multiLevelType w:val="hybridMultilevel"/>
    <w:tmpl w:val="2026B164"/>
    <w:lvl w:ilvl="0" w:tplc="0C0A0011">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 w15:restartNumberingAfterBreak="0">
    <w:nsid w:val="25AE2C6D"/>
    <w:multiLevelType w:val="hybridMultilevel"/>
    <w:tmpl w:val="E3A24F9E"/>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 w15:restartNumberingAfterBreak="0">
    <w:nsid w:val="26A542A9"/>
    <w:multiLevelType w:val="multilevel"/>
    <w:tmpl w:val="29C48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4A3206"/>
    <w:multiLevelType w:val="multilevel"/>
    <w:tmpl w:val="D84A2988"/>
    <w:lvl w:ilvl="0">
      <w:start w:val="1"/>
      <w:numFmt w:val="decimal"/>
      <w:lvlText w:val="%1."/>
      <w:lvlJc w:val="left"/>
      <w:pPr>
        <w:ind w:left="360" w:hanging="360"/>
      </w:pPr>
    </w:lvl>
    <w:lvl w:ilvl="1">
      <w:start w:val="1"/>
      <w:numFmt w:val="decimal"/>
      <w:pStyle w:val="Subsection"/>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08B4FCD"/>
    <w:multiLevelType w:val="hybridMultilevel"/>
    <w:tmpl w:val="D4CC2FE2"/>
    <w:lvl w:ilvl="0" w:tplc="59603006">
      <w:start w:val="1"/>
      <w:numFmt w:val="lowerLetter"/>
      <w:pStyle w:val="Numberedlist"/>
      <w:lvlText w:val="(%1)"/>
      <w:lvlJc w:val="left"/>
      <w:pPr>
        <w:ind w:left="720" w:hanging="360"/>
      </w:pPr>
      <w:rPr>
        <w:rFonts w:eastAsiaTheme="minorHAnsi"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F617FF4"/>
    <w:multiLevelType w:val="hybridMultilevel"/>
    <w:tmpl w:val="07BADDBC"/>
    <w:lvl w:ilvl="0" w:tplc="24BCB9D2">
      <w:start w:val="1"/>
      <w:numFmt w:val="decimal"/>
      <w:pStyle w:val="ReferencesSection"/>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03A131B"/>
    <w:multiLevelType w:val="hybridMultilevel"/>
    <w:tmpl w:val="57BE98F2"/>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9" w15:restartNumberingAfterBreak="0">
    <w:nsid w:val="576459F8"/>
    <w:multiLevelType w:val="multilevel"/>
    <w:tmpl w:val="6BC62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FA20D15"/>
    <w:multiLevelType w:val="hybridMultilevel"/>
    <w:tmpl w:val="B60C6FA4"/>
    <w:lvl w:ilvl="0" w:tplc="D1BA5288">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62907ADE"/>
    <w:multiLevelType w:val="multilevel"/>
    <w:tmpl w:val="F47E2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C952A96"/>
    <w:multiLevelType w:val="multilevel"/>
    <w:tmpl w:val="F53A5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5472927">
    <w:abstractNumId w:val="6"/>
  </w:num>
  <w:num w:numId="2" w16cid:durableId="572810731">
    <w:abstractNumId w:val="3"/>
  </w:num>
  <w:num w:numId="3" w16cid:durableId="1844273040">
    <w:abstractNumId w:val="7"/>
  </w:num>
  <w:num w:numId="4" w16cid:durableId="1895121655">
    <w:abstractNumId w:val="0"/>
  </w:num>
  <w:num w:numId="5" w16cid:durableId="881940642">
    <w:abstractNumId w:val="10"/>
  </w:num>
  <w:num w:numId="6" w16cid:durableId="2024164593">
    <w:abstractNumId w:val="8"/>
  </w:num>
  <w:num w:numId="7" w16cid:durableId="1316107360">
    <w:abstractNumId w:val="2"/>
  </w:num>
  <w:num w:numId="8" w16cid:durableId="251210547">
    <w:abstractNumId w:val="5"/>
  </w:num>
  <w:num w:numId="9" w16cid:durableId="1584949259">
    <w:abstractNumId w:val="7"/>
  </w:num>
  <w:num w:numId="10" w16cid:durableId="1185948207">
    <w:abstractNumId w:val="5"/>
  </w:num>
  <w:num w:numId="11" w16cid:durableId="20291030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78810678">
    <w:abstractNumId w:val="5"/>
    <w:lvlOverride w:ilvl="0">
      <w:startOverride w:val="2"/>
    </w:lvlOverride>
    <w:lvlOverride w:ilvl="1">
      <w:startOverride w:val="1"/>
    </w:lvlOverride>
  </w:num>
  <w:num w:numId="13" w16cid:durableId="1086459050">
    <w:abstractNumId w:val="5"/>
    <w:lvlOverride w:ilvl="0">
      <w:startOverride w:val="2"/>
    </w:lvlOverride>
    <w:lvlOverride w:ilvl="1">
      <w:startOverride w:val="1"/>
    </w:lvlOverride>
  </w:num>
  <w:num w:numId="14" w16cid:durableId="73741353">
    <w:abstractNumId w:val="12"/>
  </w:num>
  <w:num w:numId="15" w16cid:durableId="736128080">
    <w:abstractNumId w:val="9"/>
  </w:num>
  <w:num w:numId="16" w16cid:durableId="2126725572">
    <w:abstractNumId w:val="1"/>
  </w:num>
  <w:num w:numId="17" w16cid:durableId="983047265">
    <w:abstractNumId w:val="4"/>
  </w:num>
  <w:num w:numId="18" w16cid:durableId="16753766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removePersonalInformation/>
  <w:removeDateAndTime/>
  <w:proofState w:spelling="clean" w:grammar="clean"/>
  <w:defaultTabStop w:val="709"/>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A1NzE3MTQzsjAyNTFW0lEKTi0uzszPAykwrAUAX4snciwAAAA="/>
  </w:docVars>
  <w:rsids>
    <w:rsidRoot w:val="005400AF"/>
    <w:rsid w:val="00032F0C"/>
    <w:rsid w:val="00045755"/>
    <w:rsid w:val="00045C76"/>
    <w:rsid w:val="00065448"/>
    <w:rsid w:val="00092C47"/>
    <w:rsid w:val="000957BC"/>
    <w:rsid w:val="000E49CE"/>
    <w:rsid w:val="00101198"/>
    <w:rsid w:val="00114AB1"/>
    <w:rsid w:val="00153D6B"/>
    <w:rsid w:val="00156627"/>
    <w:rsid w:val="0016219F"/>
    <w:rsid w:val="0017565C"/>
    <w:rsid w:val="001D2ECD"/>
    <w:rsid w:val="001D595E"/>
    <w:rsid w:val="002003D1"/>
    <w:rsid w:val="002174FD"/>
    <w:rsid w:val="00256014"/>
    <w:rsid w:val="00291D1F"/>
    <w:rsid w:val="002A2A67"/>
    <w:rsid w:val="002A5D81"/>
    <w:rsid w:val="002C1AC4"/>
    <w:rsid w:val="002F76C1"/>
    <w:rsid w:val="003067C8"/>
    <w:rsid w:val="003211F6"/>
    <w:rsid w:val="00325842"/>
    <w:rsid w:val="00326D77"/>
    <w:rsid w:val="0034191E"/>
    <w:rsid w:val="0034336F"/>
    <w:rsid w:val="003613D0"/>
    <w:rsid w:val="003A48F6"/>
    <w:rsid w:val="003C6C02"/>
    <w:rsid w:val="00402635"/>
    <w:rsid w:val="0041237B"/>
    <w:rsid w:val="004374FA"/>
    <w:rsid w:val="0045074D"/>
    <w:rsid w:val="00465791"/>
    <w:rsid w:val="00474822"/>
    <w:rsid w:val="004834FE"/>
    <w:rsid w:val="00487CEB"/>
    <w:rsid w:val="00495DEF"/>
    <w:rsid w:val="004B7826"/>
    <w:rsid w:val="004C16C3"/>
    <w:rsid w:val="004C19C3"/>
    <w:rsid w:val="004E6902"/>
    <w:rsid w:val="004F5186"/>
    <w:rsid w:val="004F7A60"/>
    <w:rsid w:val="00510C64"/>
    <w:rsid w:val="005175D6"/>
    <w:rsid w:val="00517D2B"/>
    <w:rsid w:val="005214FF"/>
    <w:rsid w:val="005400AF"/>
    <w:rsid w:val="005420CA"/>
    <w:rsid w:val="005422ED"/>
    <w:rsid w:val="00555491"/>
    <w:rsid w:val="00584310"/>
    <w:rsid w:val="005A78EC"/>
    <w:rsid w:val="005B45F7"/>
    <w:rsid w:val="005C34BB"/>
    <w:rsid w:val="005C4205"/>
    <w:rsid w:val="005D4BF3"/>
    <w:rsid w:val="005E71A1"/>
    <w:rsid w:val="005E7AEF"/>
    <w:rsid w:val="005F15C2"/>
    <w:rsid w:val="005F7B8B"/>
    <w:rsid w:val="00605A8A"/>
    <w:rsid w:val="00606F36"/>
    <w:rsid w:val="006143F5"/>
    <w:rsid w:val="00615C6C"/>
    <w:rsid w:val="00621FB5"/>
    <w:rsid w:val="006650EA"/>
    <w:rsid w:val="006672C4"/>
    <w:rsid w:val="00667E74"/>
    <w:rsid w:val="00672CEF"/>
    <w:rsid w:val="0067593D"/>
    <w:rsid w:val="00685534"/>
    <w:rsid w:val="00687FAB"/>
    <w:rsid w:val="0069499D"/>
    <w:rsid w:val="00696AF7"/>
    <w:rsid w:val="006A3888"/>
    <w:rsid w:val="006A6F47"/>
    <w:rsid w:val="006B285A"/>
    <w:rsid w:val="006F0BF9"/>
    <w:rsid w:val="00707116"/>
    <w:rsid w:val="00711136"/>
    <w:rsid w:val="00712A1F"/>
    <w:rsid w:val="007322A7"/>
    <w:rsid w:val="00737D86"/>
    <w:rsid w:val="00742B43"/>
    <w:rsid w:val="007603DD"/>
    <w:rsid w:val="00773F76"/>
    <w:rsid w:val="007A09CD"/>
    <w:rsid w:val="007C3640"/>
    <w:rsid w:val="007C7AB0"/>
    <w:rsid w:val="007D1059"/>
    <w:rsid w:val="007D70AF"/>
    <w:rsid w:val="007F19FA"/>
    <w:rsid w:val="008015BD"/>
    <w:rsid w:val="00833A40"/>
    <w:rsid w:val="00836583"/>
    <w:rsid w:val="00845723"/>
    <w:rsid w:val="0084615E"/>
    <w:rsid w:val="0084620C"/>
    <w:rsid w:val="00847C88"/>
    <w:rsid w:val="008622F7"/>
    <w:rsid w:val="00880A2D"/>
    <w:rsid w:val="00885A03"/>
    <w:rsid w:val="008879CD"/>
    <w:rsid w:val="008977A6"/>
    <w:rsid w:val="008B5F70"/>
    <w:rsid w:val="008C145A"/>
    <w:rsid w:val="008C5FE0"/>
    <w:rsid w:val="008D14DE"/>
    <w:rsid w:val="008D5B80"/>
    <w:rsid w:val="008E6F9E"/>
    <w:rsid w:val="008F0942"/>
    <w:rsid w:val="0090042D"/>
    <w:rsid w:val="00903D3F"/>
    <w:rsid w:val="00913F52"/>
    <w:rsid w:val="00931BBE"/>
    <w:rsid w:val="00937626"/>
    <w:rsid w:val="009445FC"/>
    <w:rsid w:val="00947419"/>
    <w:rsid w:val="00956B45"/>
    <w:rsid w:val="00963C5E"/>
    <w:rsid w:val="00987944"/>
    <w:rsid w:val="0099391A"/>
    <w:rsid w:val="009949A0"/>
    <w:rsid w:val="00995D37"/>
    <w:rsid w:val="009B7C8C"/>
    <w:rsid w:val="009C4CA7"/>
    <w:rsid w:val="009D286D"/>
    <w:rsid w:val="009D4616"/>
    <w:rsid w:val="009F3B94"/>
    <w:rsid w:val="00A13F37"/>
    <w:rsid w:val="00A21DA0"/>
    <w:rsid w:val="00A3170D"/>
    <w:rsid w:val="00A4407A"/>
    <w:rsid w:val="00A52552"/>
    <w:rsid w:val="00A5389A"/>
    <w:rsid w:val="00A6754C"/>
    <w:rsid w:val="00A84115"/>
    <w:rsid w:val="00AA0490"/>
    <w:rsid w:val="00AA1B55"/>
    <w:rsid w:val="00AA3B91"/>
    <w:rsid w:val="00AB1C8B"/>
    <w:rsid w:val="00AC56C4"/>
    <w:rsid w:val="00AC6113"/>
    <w:rsid w:val="00AE23C4"/>
    <w:rsid w:val="00AF5461"/>
    <w:rsid w:val="00B00141"/>
    <w:rsid w:val="00B05413"/>
    <w:rsid w:val="00B1184C"/>
    <w:rsid w:val="00B14B3E"/>
    <w:rsid w:val="00B44B48"/>
    <w:rsid w:val="00B52690"/>
    <w:rsid w:val="00B549A9"/>
    <w:rsid w:val="00B61705"/>
    <w:rsid w:val="00B6749B"/>
    <w:rsid w:val="00B75E90"/>
    <w:rsid w:val="00B76996"/>
    <w:rsid w:val="00B80A59"/>
    <w:rsid w:val="00B82EB3"/>
    <w:rsid w:val="00B94F89"/>
    <w:rsid w:val="00BD2F3F"/>
    <w:rsid w:val="00BE5A48"/>
    <w:rsid w:val="00BF00BB"/>
    <w:rsid w:val="00C15E7A"/>
    <w:rsid w:val="00C16F38"/>
    <w:rsid w:val="00C24955"/>
    <w:rsid w:val="00C25749"/>
    <w:rsid w:val="00C4517F"/>
    <w:rsid w:val="00C51055"/>
    <w:rsid w:val="00C649E1"/>
    <w:rsid w:val="00C72F90"/>
    <w:rsid w:val="00C90DC5"/>
    <w:rsid w:val="00C977FB"/>
    <w:rsid w:val="00CA2876"/>
    <w:rsid w:val="00CA32C3"/>
    <w:rsid w:val="00CA5DC2"/>
    <w:rsid w:val="00CB2CBB"/>
    <w:rsid w:val="00CB4DD7"/>
    <w:rsid w:val="00CC6BC3"/>
    <w:rsid w:val="00CE3E0A"/>
    <w:rsid w:val="00D14E6F"/>
    <w:rsid w:val="00D37469"/>
    <w:rsid w:val="00D52167"/>
    <w:rsid w:val="00D5671E"/>
    <w:rsid w:val="00D705C6"/>
    <w:rsid w:val="00D72969"/>
    <w:rsid w:val="00D73FBC"/>
    <w:rsid w:val="00D75992"/>
    <w:rsid w:val="00D832A4"/>
    <w:rsid w:val="00D86568"/>
    <w:rsid w:val="00D920CD"/>
    <w:rsid w:val="00DA42D5"/>
    <w:rsid w:val="00DB01B4"/>
    <w:rsid w:val="00DB3AE3"/>
    <w:rsid w:val="00DC5060"/>
    <w:rsid w:val="00DD122C"/>
    <w:rsid w:val="00DD3462"/>
    <w:rsid w:val="00DE71C1"/>
    <w:rsid w:val="00DF407C"/>
    <w:rsid w:val="00DF6E64"/>
    <w:rsid w:val="00E04724"/>
    <w:rsid w:val="00E102AE"/>
    <w:rsid w:val="00E305C1"/>
    <w:rsid w:val="00E7189F"/>
    <w:rsid w:val="00E84C08"/>
    <w:rsid w:val="00E93E44"/>
    <w:rsid w:val="00EB4524"/>
    <w:rsid w:val="00EC02E3"/>
    <w:rsid w:val="00ED20DF"/>
    <w:rsid w:val="00ED67B4"/>
    <w:rsid w:val="00EE5DD9"/>
    <w:rsid w:val="00EF3C1C"/>
    <w:rsid w:val="00F073DE"/>
    <w:rsid w:val="00F11D94"/>
    <w:rsid w:val="00F1635C"/>
    <w:rsid w:val="00F16AC1"/>
    <w:rsid w:val="00F175A4"/>
    <w:rsid w:val="00F33554"/>
    <w:rsid w:val="00F51B08"/>
    <w:rsid w:val="00F71B34"/>
    <w:rsid w:val="00F95A2C"/>
    <w:rsid w:val="00FA6A70"/>
    <w:rsid w:val="00FC0F8B"/>
    <w:rsid w:val="00FD56A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EB7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237B"/>
    <w:pPr>
      <w:spacing w:line="276" w:lineRule="auto"/>
      <w:ind w:firstLine="360"/>
      <w:jc w:val="both"/>
    </w:pPr>
    <w:rPr>
      <w:rFonts w:ascii="Times New Roman" w:hAnsi="Times New Roman" w:cs="Times New Roman"/>
      <w:sz w:val="24"/>
      <w:szCs w:val="24"/>
    </w:rPr>
  </w:style>
  <w:style w:type="paragraph" w:styleId="Ttulo1">
    <w:name w:val="heading 1"/>
    <w:basedOn w:val="Authors"/>
    <w:next w:val="Normal"/>
    <w:link w:val="Ttulo1Car"/>
    <w:uiPriority w:val="9"/>
    <w:qFormat/>
    <w:rsid w:val="00092C47"/>
    <w:pPr>
      <w:outlineLvl w:val="0"/>
    </w:pPr>
    <w:rPr>
      <w:sz w:val="36"/>
      <w:lang w:val="es-ES"/>
    </w:rPr>
  </w:style>
  <w:style w:type="paragraph" w:styleId="Ttulo2">
    <w:name w:val="heading 2"/>
    <w:basedOn w:val="Normal"/>
    <w:link w:val="Ttulo2Car"/>
    <w:uiPriority w:val="9"/>
    <w:qFormat/>
    <w:rsid w:val="00CB2CBB"/>
    <w:pPr>
      <w:spacing w:before="100" w:beforeAutospacing="1" w:after="100" w:afterAutospacing="1" w:line="240" w:lineRule="auto"/>
      <w:outlineLvl w:val="1"/>
    </w:pPr>
    <w:rPr>
      <w:rFonts w:eastAsia="Times New Roman"/>
      <w:b/>
      <w:bCs/>
      <w:sz w:val="36"/>
      <w:szCs w:val="36"/>
      <w:lang w:eastAsia="es-ES"/>
    </w:rPr>
  </w:style>
  <w:style w:type="paragraph" w:styleId="Ttulo3">
    <w:name w:val="heading 3"/>
    <w:basedOn w:val="Normal"/>
    <w:next w:val="Normal"/>
    <w:link w:val="Ttulo3Car"/>
    <w:uiPriority w:val="9"/>
    <w:semiHidden/>
    <w:unhideWhenUsed/>
    <w:qFormat/>
    <w:rsid w:val="00F16AC1"/>
    <w:pPr>
      <w:keepNext/>
      <w:keepLines/>
      <w:spacing w:before="200" w:after="0"/>
      <w:outlineLvl w:val="2"/>
    </w:pPr>
    <w:rPr>
      <w:rFonts w:asciiTheme="majorHAnsi" w:eastAsiaTheme="majorEastAsia" w:hAnsiTheme="majorHAnsi" w:cstheme="majorBidi"/>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F51B08"/>
    <w:rPr>
      <w:color w:val="808080"/>
    </w:rPr>
  </w:style>
  <w:style w:type="paragraph" w:styleId="Prrafodelista">
    <w:name w:val="List Paragraph"/>
    <w:basedOn w:val="Normal"/>
    <w:link w:val="PrrafodelistaCar"/>
    <w:uiPriority w:val="34"/>
    <w:qFormat/>
    <w:rsid w:val="00510C64"/>
    <w:pPr>
      <w:ind w:left="720"/>
      <w:contextualSpacing/>
    </w:pPr>
  </w:style>
  <w:style w:type="paragraph" w:styleId="Textodeglobo">
    <w:name w:val="Balloon Text"/>
    <w:basedOn w:val="Normal"/>
    <w:link w:val="TextodegloboCar"/>
    <w:uiPriority w:val="99"/>
    <w:semiHidden/>
    <w:unhideWhenUsed/>
    <w:rsid w:val="00B44B4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4B48"/>
    <w:rPr>
      <w:rFonts w:ascii="Tahoma" w:hAnsi="Tahoma" w:cs="Tahoma"/>
      <w:sz w:val="16"/>
      <w:szCs w:val="16"/>
    </w:rPr>
  </w:style>
  <w:style w:type="character" w:customStyle="1" w:styleId="Ttulo3Car">
    <w:name w:val="Título 3 Car"/>
    <w:basedOn w:val="Fuentedeprrafopredeter"/>
    <w:link w:val="Ttulo3"/>
    <w:uiPriority w:val="9"/>
    <w:semiHidden/>
    <w:rsid w:val="00F16AC1"/>
    <w:rPr>
      <w:rFonts w:asciiTheme="majorHAnsi" w:eastAsiaTheme="majorEastAsia" w:hAnsiTheme="majorHAnsi" w:cstheme="majorBidi"/>
      <w:b/>
      <w:bCs/>
      <w:sz w:val="24"/>
      <w:szCs w:val="24"/>
    </w:rPr>
  </w:style>
  <w:style w:type="paragraph" w:styleId="Descripcin">
    <w:name w:val="caption"/>
    <w:basedOn w:val="Normal"/>
    <w:next w:val="Normal"/>
    <w:uiPriority w:val="35"/>
    <w:unhideWhenUsed/>
    <w:qFormat/>
    <w:rsid w:val="00FD56AB"/>
    <w:pPr>
      <w:spacing w:before="60" w:after="200" w:line="240" w:lineRule="auto"/>
      <w:ind w:firstLine="357"/>
      <w:jc w:val="center"/>
    </w:pPr>
    <w:rPr>
      <w:bCs/>
      <w:sz w:val="22"/>
      <w:szCs w:val="18"/>
    </w:rPr>
  </w:style>
  <w:style w:type="paragraph" w:customStyle="1" w:styleId="Centeredequation">
    <w:name w:val="Centered equation"/>
    <w:basedOn w:val="Normal"/>
    <w:link w:val="CenteredequationCar"/>
    <w:qFormat/>
    <w:rsid w:val="00833A40"/>
    <w:pPr>
      <w:spacing w:after="0"/>
    </w:pPr>
    <w:rPr>
      <w:rFonts w:ascii="Cambria Math" w:hAnsi="Cambria Math"/>
      <w:i/>
      <w:iCs/>
      <w:sz w:val="22"/>
      <w:szCs w:val="22"/>
    </w:rPr>
  </w:style>
  <w:style w:type="paragraph" w:customStyle="1" w:styleId="TableCaption">
    <w:name w:val="Table Caption"/>
    <w:basedOn w:val="Normal"/>
    <w:link w:val="TableCaptionCar"/>
    <w:qFormat/>
    <w:rsid w:val="00F175A4"/>
    <w:pPr>
      <w:spacing w:after="200" w:line="240" w:lineRule="auto"/>
      <w:jc w:val="center"/>
    </w:pPr>
    <w:rPr>
      <w:bCs/>
      <w:szCs w:val="18"/>
    </w:rPr>
  </w:style>
  <w:style w:type="character" w:customStyle="1" w:styleId="TableCaptionCar">
    <w:name w:val="Table Caption Car"/>
    <w:basedOn w:val="Fuentedeprrafopredeter"/>
    <w:link w:val="TableCaption"/>
    <w:rsid w:val="00F175A4"/>
    <w:rPr>
      <w:rFonts w:cs="Times New Roman"/>
      <w:bCs/>
      <w:sz w:val="24"/>
      <w:szCs w:val="18"/>
    </w:rPr>
  </w:style>
  <w:style w:type="character" w:customStyle="1" w:styleId="CenteredequationCar">
    <w:name w:val="Centered equation Car"/>
    <w:basedOn w:val="Fuentedeprrafopredeter"/>
    <w:link w:val="Centeredequation"/>
    <w:rsid w:val="00833A40"/>
    <w:rPr>
      <w:rFonts w:ascii="Cambria Math" w:hAnsi="Cambria Math" w:cs="Times New Roman"/>
      <w:i/>
      <w:iCs/>
    </w:rPr>
  </w:style>
  <w:style w:type="character" w:styleId="Refdenotaalfinal">
    <w:name w:val="endnote reference"/>
    <w:basedOn w:val="Fuentedeprrafopredeter"/>
    <w:uiPriority w:val="99"/>
    <w:semiHidden/>
    <w:unhideWhenUsed/>
    <w:rsid w:val="008977A6"/>
    <w:rPr>
      <w:vertAlign w:val="superscript"/>
    </w:rPr>
  </w:style>
  <w:style w:type="paragraph" w:customStyle="1" w:styleId="ReferencesSection">
    <w:name w:val="References_Section"/>
    <w:basedOn w:val="Normal"/>
    <w:autoRedefine/>
    <w:rsid w:val="00065448"/>
    <w:pPr>
      <w:numPr>
        <w:numId w:val="3"/>
      </w:numPr>
      <w:spacing w:after="0"/>
    </w:pPr>
    <w:rPr>
      <w:lang w:val="en-US"/>
    </w:rPr>
  </w:style>
  <w:style w:type="character" w:customStyle="1" w:styleId="Ttulo2Car">
    <w:name w:val="Título 2 Car"/>
    <w:basedOn w:val="Fuentedeprrafopredeter"/>
    <w:link w:val="Ttulo2"/>
    <w:uiPriority w:val="9"/>
    <w:rsid w:val="00CB2CBB"/>
    <w:rPr>
      <w:rFonts w:ascii="Times New Roman" w:eastAsia="Times New Roman" w:hAnsi="Times New Roman" w:cs="Times New Roman"/>
      <w:b/>
      <w:bCs/>
      <w:sz w:val="36"/>
      <w:szCs w:val="36"/>
      <w:lang w:eastAsia="es-ES"/>
    </w:rPr>
  </w:style>
  <w:style w:type="character" w:styleId="Textoennegrita">
    <w:name w:val="Strong"/>
    <w:basedOn w:val="Fuentedeprrafopredeter"/>
    <w:uiPriority w:val="22"/>
    <w:qFormat/>
    <w:rsid w:val="00CB2CBB"/>
    <w:rPr>
      <w:b/>
      <w:bCs/>
    </w:rPr>
  </w:style>
  <w:style w:type="paragraph" w:customStyle="1" w:styleId="Abstract">
    <w:name w:val="Abstract"/>
    <w:basedOn w:val="Normal"/>
    <w:rsid w:val="0041237B"/>
    <w:pPr>
      <w:spacing w:before="240" w:after="0" w:line="340" w:lineRule="atLeast"/>
      <w:ind w:left="510" w:right="510"/>
    </w:pPr>
    <w:rPr>
      <w:rFonts w:eastAsia="Times New Roman"/>
      <w:color w:val="000000"/>
      <w:szCs w:val="20"/>
      <w:lang w:val="en-US" w:eastAsia="de-DE"/>
    </w:rPr>
  </w:style>
  <w:style w:type="paragraph" w:customStyle="1" w:styleId="Address">
    <w:name w:val="Address"/>
    <w:basedOn w:val="Normal"/>
    <w:rsid w:val="0041237B"/>
    <w:pPr>
      <w:spacing w:before="240" w:after="0" w:line="340" w:lineRule="atLeast"/>
    </w:pPr>
    <w:rPr>
      <w:rFonts w:eastAsia="Times New Roman"/>
      <w:color w:val="000000"/>
      <w:szCs w:val="20"/>
      <w:lang w:val="en-US" w:eastAsia="de-DE"/>
    </w:rPr>
  </w:style>
  <w:style w:type="paragraph" w:customStyle="1" w:styleId="Authors">
    <w:name w:val="Authors"/>
    <w:basedOn w:val="Normal"/>
    <w:next w:val="Address"/>
    <w:autoRedefine/>
    <w:rsid w:val="0041237B"/>
    <w:pPr>
      <w:spacing w:before="240" w:after="240" w:line="340" w:lineRule="atLeast"/>
    </w:pPr>
    <w:rPr>
      <w:rFonts w:eastAsia="Times New Roman"/>
      <w:b/>
      <w:color w:val="000000"/>
      <w:szCs w:val="20"/>
      <w:lang w:val="it-IT" w:eastAsia="de-DE"/>
    </w:rPr>
  </w:style>
  <w:style w:type="paragraph" w:customStyle="1" w:styleId="Mline2">
    <w:name w:val="M_line2"/>
    <w:basedOn w:val="Normal"/>
    <w:next w:val="Section"/>
    <w:rsid w:val="0017565C"/>
    <w:pPr>
      <w:pBdr>
        <w:bottom w:val="single" w:sz="6" w:space="1" w:color="auto"/>
      </w:pBdr>
      <w:spacing w:after="480" w:line="340" w:lineRule="atLeast"/>
    </w:pPr>
    <w:rPr>
      <w:rFonts w:eastAsia="Times New Roman"/>
      <w:color w:val="000000"/>
      <w:szCs w:val="20"/>
      <w:lang w:val="en-US" w:eastAsia="de-DE"/>
    </w:rPr>
  </w:style>
  <w:style w:type="paragraph" w:customStyle="1" w:styleId="Mline1">
    <w:name w:val="M_line1"/>
    <w:basedOn w:val="Mline2"/>
    <w:next w:val="Abstract"/>
    <w:rsid w:val="0017565C"/>
    <w:pPr>
      <w:spacing w:after="0"/>
    </w:pPr>
  </w:style>
  <w:style w:type="character" w:customStyle="1" w:styleId="Ttulo1Car">
    <w:name w:val="Título 1 Car"/>
    <w:basedOn w:val="Fuentedeprrafopredeter"/>
    <w:link w:val="Ttulo1"/>
    <w:uiPriority w:val="9"/>
    <w:rsid w:val="00092C47"/>
    <w:rPr>
      <w:rFonts w:ascii="Times New Roman" w:eastAsia="Times New Roman" w:hAnsi="Times New Roman" w:cs="Times New Roman"/>
      <w:b/>
      <w:color w:val="000000"/>
      <w:sz w:val="36"/>
      <w:szCs w:val="20"/>
      <w:lang w:eastAsia="de-DE"/>
    </w:rPr>
  </w:style>
  <w:style w:type="paragraph" w:customStyle="1" w:styleId="Ttulo10">
    <w:name w:val="Título1"/>
    <w:basedOn w:val="Ttulo1"/>
    <w:next w:val="Authors"/>
    <w:link w:val="TitleCar"/>
    <w:qFormat/>
    <w:rsid w:val="0041237B"/>
    <w:pPr>
      <w:jc w:val="center"/>
    </w:pPr>
  </w:style>
  <w:style w:type="paragraph" w:customStyle="1" w:styleId="Section">
    <w:name w:val="Section"/>
    <w:basedOn w:val="Prrafodelista"/>
    <w:next w:val="Normal"/>
    <w:link w:val="SectionCar"/>
    <w:qFormat/>
    <w:rsid w:val="005F15C2"/>
    <w:pPr>
      <w:numPr>
        <w:numId w:val="4"/>
      </w:numPr>
    </w:pPr>
    <w:rPr>
      <w:b/>
    </w:rPr>
  </w:style>
  <w:style w:type="character" w:customStyle="1" w:styleId="TitleCar">
    <w:name w:val="Title Car"/>
    <w:basedOn w:val="Ttulo1Car"/>
    <w:link w:val="Ttulo10"/>
    <w:rsid w:val="0041237B"/>
    <w:rPr>
      <w:rFonts w:ascii="Times New Roman" w:eastAsia="Times New Roman" w:hAnsi="Times New Roman" w:cs="Times New Roman"/>
      <w:b/>
      <w:color w:val="000000"/>
      <w:sz w:val="36"/>
      <w:szCs w:val="20"/>
      <w:lang w:eastAsia="de-DE"/>
    </w:rPr>
  </w:style>
  <w:style w:type="table" w:styleId="Tablaconcuadrcula">
    <w:name w:val="Table Grid"/>
    <w:basedOn w:val="Tablanormal"/>
    <w:uiPriority w:val="39"/>
    <w:rsid w:val="00BD2F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basedOn w:val="Fuentedeprrafopredeter"/>
    <w:link w:val="Prrafodelista"/>
    <w:uiPriority w:val="34"/>
    <w:rsid w:val="0034191E"/>
  </w:style>
  <w:style w:type="character" w:customStyle="1" w:styleId="SectionCar">
    <w:name w:val="Section Car"/>
    <w:basedOn w:val="PrrafodelistaCar"/>
    <w:link w:val="Section"/>
    <w:rsid w:val="005F15C2"/>
    <w:rPr>
      <w:rFonts w:cs="Times New Roman"/>
      <w:b/>
      <w:sz w:val="24"/>
      <w:szCs w:val="24"/>
    </w:rPr>
  </w:style>
  <w:style w:type="paragraph" w:customStyle="1" w:styleId="Equationnumber">
    <w:name w:val="Equation number"/>
    <w:basedOn w:val="Normal"/>
    <w:link w:val="EquationnumberCar"/>
    <w:qFormat/>
    <w:rsid w:val="00F175A4"/>
    <w:pPr>
      <w:spacing w:after="200" w:line="240" w:lineRule="auto"/>
      <w:jc w:val="right"/>
    </w:pPr>
    <w:rPr>
      <w:b/>
      <w:bCs/>
    </w:rPr>
  </w:style>
  <w:style w:type="paragraph" w:customStyle="1" w:styleId="Numberedlist">
    <w:name w:val="Numbered list"/>
    <w:basedOn w:val="Prrafodelista"/>
    <w:link w:val="NumberedlistCar"/>
    <w:qFormat/>
    <w:rsid w:val="00065448"/>
    <w:pPr>
      <w:numPr>
        <w:numId w:val="1"/>
      </w:numPr>
    </w:pPr>
  </w:style>
  <w:style w:type="character" w:customStyle="1" w:styleId="EquationnumberCar">
    <w:name w:val="Equation number Car"/>
    <w:basedOn w:val="Fuentedeprrafopredeter"/>
    <w:link w:val="Equationnumber"/>
    <w:rsid w:val="00F175A4"/>
    <w:rPr>
      <w:rFonts w:ascii="Times New Roman" w:hAnsi="Times New Roman" w:cs="Times New Roman"/>
      <w:b/>
      <w:bCs/>
      <w:sz w:val="24"/>
      <w:szCs w:val="24"/>
    </w:rPr>
  </w:style>
  <w:style w:type="paragraph" w:styleId="Encabezado">
    <w:name w:val="header"/>
    <w:basedOn w:val="Normal"/>
    <w:link w:val="EncabezadoCar"/>
    <w:uiPriority w:val="99"/>
    <w:unhideWhenUsed/>
    <w:rsid w:val="00667E74"/>
    <w:pPr>
      <w:tabs>
        <w:tab w:val="center" w:pos="4252"/>
        <w:tab w:val="right" w:pos="8504"/>
      </w:tabs>
      <w:spacing w:after="0" w:line="240" w:lineRule="auto"/>
    </w:pPr>
  </w:style>
  <w:style w:type="character" w:customStyle="1" w:styleId="NumberedlistCar">
    <w:name w:val="Numbered list Car"/>
    <w:basedOn w:val="PrrafodelistaCar"/>
    <w:link w:val="Numberedlist"/>
    <w:rsid w:val="00065448"/>
    <w:rPr>
      <w:rFonts w:cs="Times New Roman"/>
      <w:sz w:val="24"/>
      <w:szCs w:val="24"/>
    </w:rPr>
  </w:style>
  <w:style w:type="character" w:customStyle="1" w:styleId="EncabezadoCar">
    <w:name w:val="Encabezado Car"/>
    <w:basedOn w:val="Fuentedeprrafopredeter"/>
    <w:link w:val="Encabezado"/>
    <w:uiPriority w:val="99"/>
    <w:rsid w:val="00667E74"/>
  </w:style>
  <w:style w:type="paragraph" w:styleId="Piedepgina">
    <w:name w:val="footer"/>
    <w:basedOn w:val="Normal"/>
    <w:link w:val="PiedepginaCar"/>
    <w:uiPriority w:val="99"/>
    <w:unhideWhenUsed/>
    <w:rsid w:val="00667E7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67E74"/>
  </w:style>
  <w:style w:type="paragraph" w:customStyle="1" w:styleId="CenteredFigure">
    <w:name w:val="Centered Figure"/>
    <w:basedOn w:val="Normal"/>
    <w:link w:val="CenteredFigureCar"/>
    <w:qFormat/>
    <w:rsid w:val="0084620C"/>
    <w:pPr>
      <w:jc w:val="center"/>
    </w:pPr>
    <w:rPr>
      <w:noProof/>
      <w:lang w:eastAsia="es-ES"/>
    </w:rPr>
  </w:style>
  <w:style w:type="paragraph" w:customStyle="1" w:styleId="Reftitle">
    <w:name w:val="Ref title"/>
    <w:basedOn w:val="Normal"/>
    <w:link w:val="ReftitleCar"/>
    <w:qFormat/>
    <w:rsid w:val="0084620C"/>
    <w:rPr>
      <w:b/>
      <w:lang w:val="en-US"/>
    </w:rPr>
  </w:style>
  <w:style w:type="character" w:customStyle="1" w:styleId="CenteredFigureCar">
    <w:name w:val="Centered Figure Car"/>
    <w:basedOn w:val="Fuentedeprrafopredeter"/>
    <w:link w:val="CenteredFigure"/>
    <w:rsid w:val="0084620C"/>
    <w:rPr>
      <w:rFonts w:cs="Times New Roman"/>
      <w:noProof/>
      <w:sz w:val="24"/>
      <w:szCs w:val="24"/>
      <w:lang w:eastAsia="es-ES"/>
    </w:rPr>
  </w:style>
  <w:style w:type="paragraph" w:customStyle="1" w:styleId="Subsection">
    <w:name w:val="Subsection"/>
    <w:basedOn w:val="Prrafodelista"/>
    <w:link w:val="SubsectionCar"/>
    <w:qFormat/>
    <w:rsid w:val="00FD56AB"/>
    <w:pPr>
      <w:numPr>
        <w:ilvl w:val="1"/>
        <w:numId w:val="8"/>
      </w:numPr>
    </w:pPr>
    <w:rPr>
      <w:i/>
    </w:rPr>
  </w:style>
  <w:style w:type="character" w:customStyle="1" w:styleId="ReftitleCar">
    <w:name w:val="Ref title Car"/>
    <w:basedOn w:val="Fuentedeprrafopredeter"/>
    <w:link w:val="Reftitle"/>
    <w:rsid w:val="0084620C"/>
    <w:rPr>
      <w:rFonts w:cs="Times New Roman"/>
      <w:b/>
      <w:sz w:val="24"/>
      <w:szCs w:val="24"/>
      <w:lang w:val="en-US"/>
    </w:rPr>
  </w:style>
  <w:style w:type="character" w:customStyle="1" w:styleId="SubsectionCar">
    <w:name w:val="Subsection Car"/>
    <w:basedOn w:val="PrrafodelistaCar"/>
    <w:link w:val="Subsection"/>
    <w:rsid w:val="00FD56AB"/>
    <w:rPr>
      <w:rFonts w:ascii="Times New Roman" w:hAnsi="Times New Roman" w:cs="Times New Roman"/>
      <w:i/>
      <w:sz w:val="24"/>
      <w:szCs w:val="24"/>
    </w:rPr>
  </w:style>
  <w:style w:type="paragraph" w:customStyle="1" w:styleId="Tableformat">
    <w:name w:val="Table format"/>
    <w:basedOn w:val="Normal"/>
    <w:link w:val="TableformatCar"/>
    <w:qFormat/>
    <w:rsid w:val="00065448"/>
    <w:pPr>
      <w:ind w:firstLine="357"/>
    </w:pPr>
    <w:rPr>
      <w:sz w:val="22"/>
      <w:szCs w:val="22"/>
    </w:rPr>
  </w:style>
  <w:style w:type="character" w:styleId="Refdecomentario">
    <w:name w:val="annotation reference"/>
    <w:basedOn w:val="Fuentedeprrafopredeter"/>
    <w:uiPriority w:val="99"/>
    <w:semiHidden/>
    <w:unhideWhenUsed/>
    <w:rsid w:val="00065448"/>
    <w:rPr>
      <w:sz w:val="16"/>
      <w:szCs w:val="16"/>
    </w:rPr>
  </w:style>
  <w:style w:type="character" w:customStyle="1" w:styleId="TableformatCar">
    <w:name w:val="Table format Car"/>
    <w:basedOn w:val="Fuentedeprrafopredeter"/>
    <w:link w:val="Tableformat"/>
    <w:rsid w:val="00065448"/>
    <w:rPr>
      <w:rFonts w:cs="Times New Roman"/>
    </w:rPr>
  </w:style>
  <w:style w:type="paragraph" w:styleId="Textocomentario">
    <w:name w:val="annotation text"/>
    <w:basedOn w:val="Normal"/>
    <w:link w:val="TextocomentarioCar"/>
    <w:uiPriority w:val="99"/>
    <w:semiHidden/>
    <w:unhideWhenUsed/>
    <w:rsid w:val="0006544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065448"/>
    <w:rPr>
      <w:rFonts w:cs="Times New Roman"/>
      <w:sz w:val="20"/>
      <w:szCs w:val="20"/>
    </w:rPr>
  </w:style>
  <w:style w:type="paragraph" w:styleId="Asuntodelcomentario">
    <w:name w:val="annotation subject"/>
    <w:basedOn w:val="Textocomentario"/>
    <w:next w:val="Textocomentario"/>
    <w:link w:val="AsuntodelcomentarioCar"/>
    <w:uiPriority w:val="99"/>
    <w:semiHidden/>
    <w:unhideWhenUsed/>
    <w:rsid w:val="00065448"/>
    <w:rPr>
      <w:b/>
      <w:bCs/>
    </w:rPr>
  </w:style>
  <w:style w:type="character" w:customStyle="1" w:styleId="AsuntodelcomentarioCar">
    <w:name w:val="Asunto del comentario Car"/>
    <w:basedOn w:val="TextocomentarioCar"/>
    <w:link w:val="Asuntodelcomentario"/>
    <w:uiPriority w:val="99"/>
    <w:semiHidden/>
    <w:rsid w:val="00065448"/>
    <w:rPr>
      <w:rFonts w:cs="Times New Roman"/>
      <w:b/>
      <w:bCs/>
      <w:sz w:val="20"/>
      <w:szCs w:val="20"/>
    </w:rPr>
  </w:style>
  <w:style w:type="character" w:styleId="Hipervnculo">
    <w:name w:val="Hyperlink"/>
    <w:basedOn w:val="Fuentedeprrafopredeter"/>
    <w:uiPriority w:val="99"/>
    <w:unhideWhenUsed/>
    <w:rsid w:val="00B05413"/>
    <w:rPr>
      <w:color w:val="0563C1" w:themeColor="hyperlink"/>
      <w:u w:val="single"/>
    </w:rPr>
  </w:style>
  <w:style w:type="character" w:styleId="Mencinsinresolver">
    <w:name w:val="Unresolved Mention"/>
    <w:basedOn w:val="Fuentedeprrafopredeter"/>
    <w:uiPriority w:val="99"/>
    <w:semiHidden/>
    <w:unhideWhenUsed/>
    <w:rsid w:val="00B05413"/>
    <w:rPr>
      <w:color w:val="605E5C"/>
      <w:shd w:val="clear" w:color="auto" w:fill="E1DFDD"/>
    </w:rPr>
  </w:style>
  <w:style w:type="paragraph" w:styleId="Bibliografa">
    <w:name w:val="Bibliography"/>
    <w:basedOn w:val="Normal"/>
    <w:next w:val="Normal"/>
    <w:uiPriority w:val="37"/>
    <w:unhideWhenUsed/>
    <w:rsid w:val="00B05413"/>
    <w:pPr>
      <w:spacing w:after="120" w:line="240" w:lineRule="auto"/>
      <w:ind w:firstLine="397"/>
    </w:pPr>
    <w:rPr>
      <w:rFonts w:eastAsia="Times New Roman"/>
      <w:szCs w:val="20"/>
      <w:lang w:eastAsia="es-ES"/>
    </w:rPr>
  </w:style>
  <w:style w:type="paragraph" w:styleId="NormalWeb">
    <w:name w:val="Normal (Web)"/>
    <w:basedOn w:val="Normal"/>
    <w:uiPriority w:val="99"/>
    <w:semiHidden/>
    <w:unhideWhenUsed/>
    <w:rsid w:val="00696AF7"/>
    <w:pPr>
      <w:spacing w:before="100" w:beforeAutospacing="1" w:after="100" w:afterAutospacing="1" w:line="240" w:lineRule="auto"/>
      <w:ind w:firstLine="0"/>
      <w:jc w:val="left"/>
    </w:pPr>
    <w:rPr>
      <w:rFonts w:eastAsia="Times New Roman"/>
      <w:lang w:eastAsia="es-ES"/>
    </w:rPr>
  </w:style>
  <w:style w:type="paragraph" w:customStyle="1" w:styleId="TituloTFG">
    <w:name w:val="Titulo TFG"/>
    <w:basedOn w:val="Normal"/>
    <w:next w:val="Normal"/>
    <w:uiPriority w:val="99"/>
    <w:rsid w:val="00ED20DF"/>
    <w:pPr>
      <w:spacing w:after="120" w:line="240" w:lineRule="auto"/>
      <w:ind w:firstLine="397"/>
      <w:jc w:val="center"/>
    </w:pPr>
    <w:rPr>
      <w:rFonts w:eastAsia="Times New Roman"/>
      <w:i/>
      <w:iCs/>
      <w:sz w:val="36"/>
      <w:szCs w:val="20"/>
      <w:lang w:eastAsia="es-ES"/>
    </w:rPr>
  </w:style>
  <w:style w:type="paragraph" w:styleId="Revisin">
    <w:name w:val="Revision"/>
    <w:hidden/>
    <w:uiPriority w:val="99"/>
    <w:semiHidden/>
    <w:rsid w:val="0034336F"/>
    <w:pPr>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87344">
      <w:bodyDiv w:val="1"/>
      <w:marLeft w:val="0"/>
      <w:marRight w:val="0"/>
      <w:marTop w:val="0"/>
      <w:marBottom w:val="0"/>
      <w:divBdr>
        <w:top w:val="none" w:sz="0" w:space="0" w:color="auto"/>
        <w:left w:val="none" w:sz="0" w:space="0" w:color="auto"/>
        <w:bottom w:val="none" w:sz="0" w:space="0" w:color="auto"/>
        <w:right w:val="none" w:sz="0" w:space="0" w:color="auto"/>
      </w:divBdr>
    </w:div>
    <w:div w:id="72165489">
      <w:bodyDiv w:val="1"/>
      <w:marLeft w:val="0"/>
      <w:marRight w:val="0"/>
      <w:marTop w:val="0"/>
      <w:marBottom w:val="0"/>
      <w:divBdr>
        <w:top w:val="none" w:sz="0" w:space="0" w:color="auto"/>
        <w:left w:val="none" w:sz="0" w:space="0" w:color="auto"/>
        <w:bottom w:val="none" w:sz="0" w:space="0" w:color="auto"/>
        <w:right w:val="none" w:sz="0" w:space="0" w:color="auto"/>
      </w:divBdr>
    </w:div>
    <w:div w:id="350108991">
      <w:bodyDiv w:val="1"/>
      <w:marLeft w:val="0"/>
      <w:marRight w:val="0"/>
      <w:marTop w:val="0"/>
      <w:marBottom w:val="0"/>
      <w:divBdr>
        <w:top w:val="none" w:sz="0" w:space="0" w:color="auto"/>
        <w:left w:val="none" w:sz="0" w:space="0" w:color="auto"/>
        <w:bottom w:val="none" w:sz="0" w:space="0" w:color="auto"/>
        <w:right w:val="none" w:sz="0" w:space="0" w:color="auto"/>
      </w:divBdr>
      <w:divsChild>
        <w:div w:id="1866670910">
          <w:marLeft w:val="0"/>
          <w:marRight w:val="0"/>
          <w:marTop w:val="0"/>
          <w:marBottom w:val="0"/>
          <w:divBdr>
            <w:top w:val="none" w:sz="0" w:space="0" w:color="auto"/>
            <w:left w:val="none" w:sz="0" w:space="0" w:color="auto"/>
            <w:bottom w:val="none" w:sz="0" w:space="0" w:color="auto"/>
            <w:right w:val="none" w:sz="0" w:space="0" w:color="auto"/>
          </w:divBdr>
        </w:div>
      </w:divsChild>
    </w:div>
    <w:div w:id="429206537">
      <w:bodyDiv w:val="1"/>
      <w:marLeft w:val="0"/>
      <w:marRight w:val="0"/>
      <w:marTop w:val="0"/>
      <w:marBottom w:val="0"/>
      <w:divBdr>
        <w:top w:val="none" w:sz="0" w:space="0" w:color="auto"/>
        <w:left w:val="none" w:sz="0" w:space="0" w:color="auto"/>
        <w:bottom w:val="none" w:sz="0" w:space="0" w:color="auto"/>
        <w:right w:val="none" w:sz="0" w:space="0" w:color="auto"/>
      </w:divBdr>
      <w:divsChild>
        <w:div w:id="1744251334">
          <w:marLeft w:val="0"/>
          <w:marRight w:val="0"/>
          <w:marTop w:val="0"/>
          <w:marBottom w:val="0"/>
          <w:divBdr>
            <w:top w:val="none" w:sz="0" w:space="0" w:color="auto"/>
            <w:left w:val="none" w:sz="0" w:space="0" w:color="auto"/>
            <w:bottom w:val="none" w:sz="0" w:space="0" w:color="auto"/>
            <w:right w:val="none" w:sz="0" w:space="0" w:color="auto"/>
          </w:divBdr>
        </w:div>
      </w:divsChild>
    </w:div>
    <w:div w:id="585578477">
      <w:bodyDiv w:val="1"/>
      <w:marLeft w:val="0"/>
      <w:marRight w:val="0"/>
      <w:marTop w:val="0"/>
      <w:marBottom w:val="0"/>
      <w:divBdr>
        <w:top w:val="none" w:sz="0" w:space="0" w:color="auto"/>
        <w:left w:val="none" w:sz="0" w:space="0" w:color="auto"/>
        <w:bottom w:val="none" w:sz="0" w:space="0" w:color="auto"/>
        <w:right w:val="none" w:sz="0" w:space="0" w:color="auto"/>
      </w:divBdr>
    </w:div>
    <w:div w:id="1691758845">
      <w:bodyDiv w:val="1"/>
      <w:marLeft w:val="0"/>
      <w:marRight w:val="0"/>
      <w:marTop w:val="0"/>
      <w:marBottom w:val="0"/>
      <w:divBdr>
        <w:top w:val="none" w:sz="0" w:space="0" w:color="auto"/>
        <w:left w:val="none" w:sz="0" w:space="0" w:color="auto"/>
        <w:bottom w:val="none" w:sz="0" w:space="0" w:color="auto"/>
        <w:right w:val="none" w:sz="0" w:space="0" w:color="auto"/>
      </w:divBdr>
      <w:divsChild>
        <w:div w:id="872890299">
          <w:marLeft w:val="0"/>
          <w:marRight w:val="0"/>
          <w:marTop w:val="0"/>
          <w:marBottom w:val="0"/>
          <w:divBdr>
            <w:top w:val="none" w:sz="0" w:space="0" w:color="auto"/>
            <w:left w:val="none" w:sz="0" w:space="0" w:color="auto"/>
            <w:bottom w:val="none" w:sz="0" w:space="0" w:color="auto"/>
            <w:right w:val="none" w:sz="0" w:space="0" w:color="auto"/>
          </w:divBdr>
          <w:divsChild>
            <w:div w:id="393702122">
              <w:marLeft w:val="0"/>
              <w:marRight w:val="0"/>
              <w:marTop w:val="0"/>
              <w:marBottom w:val="0"/>
              <w:divBdr>
                <w:top w:val="none" w:sz="0" w:space="0" w:color="auto"/>
                <w:left w:val="none" w:sz="0" w:space="0" w:color="auto"/>
                <w:bottom w:val="none" w:sz="0" w:space="0" w:color="auto"/>
                <w:right w:val="none" w:sz="0" w:space="0" w:color="auto"/>
              </w:divBdr>
            </w:div>
            <w:div w:id="723797461">
              <w:marLeft w:val="0"/>
              <w:marRight w:val="0"/>
              <w:marTop w:val="0"/>
              <w:marBottom w:val="0"/>
              <w:divBdr>
                <w:top w:val="none" w:sz="0" w:space="0" w:color="auto"/>
                <w:left w:val="none" w:sz="0" w:space="0" w:color="auto"/>
                <w:bottom w:val="none" w:sz="0" w:space="0" w:color="auto"/>
                <w:right w:val="none" w:sz="0" w:space="0" w:color="auto"/>
              </w:divBdr>
            </w:div>
          </w:divsChild>
        </w:div>
        <w:div w:id="2001808843">
          <w:marLeft w:val="0"/>
          <w:marRight w:val="0"/>
          <w:marTop w:val="0"/>
          <w:marBottom w:val="0"/>
          <w:divBdr>
            <w:top w:val="none" w:sz="0" w:space="0" w:color="auto"/>
            <w:left w:val="none" w:sz="0" w:space="0" w:color="auto"/>
            <w:bottom w:val="none" w:sz="0" w:space="0" w:color="auto"/>
            <w:right w:val="none" w:sz="0" w:space="0" w:color="auto"/>
          </w:divBdr>
          <w:divsChild>
            <w:div w:id="1419709684">
              <w:marLeft w:val="0"/>
              <w:marRight w:val="0"/>
              <w:marTop w:val="0"/>
              <w:marBottom w:val="0"/>
              <w:divBdr>
                <w:top w:val="none" w:sz="0" w:space="0" w:color="auto"/>
                <w:left w:val="none" w:sz="0" w:space="0" w:color="auto"/>
                <w:bottom w:val="none" w:sz="0" w:space="0" w:color="auto"/>
                <w:right w:val="none" w:sz="0" w:space="0" w:color="auto"/>
              </w:divBdr>
              <w:divsChild>
                <w:div w:id="2023974875">
                  <w:marLeft w:val="0"/>
                  <w:marRight w:val="0"/>
                  <w:marTop w:val="0"/>
                  <w:marBottom w:val="0"/>
                  <w:divBdr>
                    <w:top w:val="none" w:sz="0" w:space="0" w:color="auto"/>
                    <w:left w:val="none" w:sz="0" w:space="0" w:color="auto"/>
                    <w:bottom w:val="none" w:sz="0" w:space="0" w:color="auto"/>
                    <w:right w:val="none" w:sz="0" w:space="0" w:color="auto"/>
                  </w:divBdr>
                  <w:divsChild>
                    <w:div w:id="19342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0061319">
      <w:bodyDiv w:val="1"/>
      <w:marLeft w:val="0"/>
      <w:marRight w:val="0"/>
      <w:marTop w:val="0"/>
      <w:marBottom w:val="0"/>
      <w:divBdr>
        <w:top w:val="none" w:sz="0" w:space="0" w:color="auto"/>
        <w:left w:val="none" w:sz="0" w:space="0" w:color="auto"/>
        <w:bottom w:val="none" w:sz="0" w:space="0" w:color="auto"/>
        <w:right w:val="none" w:sz="0" w:space="0" w:color="auto"/>
      </w:divBdr>
      <w:divsChild>
        <w:div w:id="3412070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Sixth Edition">
  <b:Source xmlns:b="http://schemas.openxmlformats.org/officeDocument/2006/bibliography" xmlns="http://schemas.openxmlformats.org/officeDocument/2006/bibliography">
    <b:Tag>MarcadorDePosición1</b:Tag>
    <b:RefOrder>1</b:RefOrder>
  </b:Source>
</b:Sourc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BD5F0BF0CAFE22408947237DDDFCB0B9" ma:contentTypeVersion="2" ma:contentTypeDescription="Crear nuevo documento." ma:contentTypeScope="" ma:versionID="231d0ecf5e51b8b4130938ddc7466111">
  <xsd:schema xmlns:xsd="http://www.w3.org/2001/XMLSchema" xmlns:xs="http://www.w3.org/2001/XMLSchema" xmlns:p="http://schemas.microsoft.com/office/2006/metadata/properties" xmlns:ns1="http://schemas.microsoft.com/sharepoint/v3" targetNamespace="http://schemas.microsoft.com/office/2006/metadata/properties" ma:root="true" ma:fieldsID="5081e6ca3dd88758eeb7d82f82783eaf"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internalName="PublishingStartDate">
      <xsd:simpleType>
        <xsd:restriction base="dms:Unknown"/>
      </xsd:simpleType>
    </xsd:element>
    <xsd:element name="PublishingExpirationDate" ma:index="9" nillable="true" ma:displayName="Fecha de finalización programada"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3109A9-4C51-4A38-AB01-F7C26F015ADE}">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18ADD88E-A16C-474A-BF89-000FF6A6FA11}">
  <ds:schemaRefs>
    <ds:schemaRef ds:uri="http://schemas.openxmlformats.org/officeDocument/2006/bibliography"/>
  </ds:schemaRefs>
</ds:datastoreItem>
</file>

<file path=customXml/itemProps3.xml><?xml version="1.0" encoding="utf-8"?>
<ds:datastoreItem xmlns:ds="http://schemas.openxmlformats.org/officeDocument/2006/customXml" ds:itemID="{3B07ABA6-A314-479C-8273-66B3A3F6903B}">
  <ds:schemaRefs>
    <ds:schemaRef ds:uri="http://schemas.microsoft.com/sharepoint/v3/contenttype/forms"/>
  </ds:schemaRefs>
</ds:datastoreItem>
</file>

<file path=customXml/itemProps4.xml><?xml version="1.0" encoding="utf-8"?>
<ds:datastoreItem xmlns:ds="http://schemas.openxmlformats.org/officeDocument/2006/customXml" ds:itemID="{7B4D07A7-34C3-4F5C-8EB4-2A6BE3A734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2216</Words>
  <Characters>12193</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[Escriba aquí el título del trabajo]</vt:lpstr>
    </vt:vector>
  </TitlesOfParts>
  <LinksUpToDate>false</LinksUpToDate>
  <CharactersWithSpaces>14381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[Escriba aquí el título del trabajo]</dc:title>
  <dc:subject/>
  <dc:creator/>
  <cp:keywords/>
  <cp:lastModifiedBy/>
  <cp:revision>1</cp:revision>
  <dcterms:created xsi:type="dcterms:W3CDTF">2026-01-18T10:59:00Z</dcterms:created>
  <dcterms:modified xsi:type="dcterms:W3CDTF">2026-01-21T15:44:00Z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zotero-version="4.0.28"&gt;&lt;session id="AqnDUoRc"/&gt;&lt;style id="http://www.zotero.org/styles/vancouver" locale="en-US" hasBibliography="1" bibliographyStyleHasBeenSet="1"/&gt;&lt;prefs&gt;&lt;pref name="fieldType" value="Field"/&gt;&lt;pref name="storeRef</vt:lpwstr>
  </property>
  <property fmtid="{D5CDD505-2E9C-101B-9397-08002B2CF9AE}" pid="3" name="ZOTERO_PREF_2">
    <vt:lpwstr>erences" value="true"/&gt;&lt;pref name="automaticJournalAbbreviations" value=""/&gt;&lt;pref name="noteType" value=""/&gt;&lt;/prefs&gt;&lt;/data&gt;</vt:lpwstr>
  </property>
  <property fmtid="{D5CDD505-2E9C-101B-9397-08002B2CF9AE}" pid="4" name="ContentTypeId">
    <vt:lpwstr>0x010100BD5F0BF0CAFE22408947237DDDFCB0B9</vt:lpwstr>
  </property>
</Properties>
</file>